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806" w:rsidRDefault="00B91970">
      <w:pPr>
        <w:pStyle w:val="Nadpis2"/>
        <w:jc w:val="center"/>
      </w:pPr>
      <w:bookmarkStart w:id="0" w:name="_75oz187p3n14" w:colFirst="0" w:colLast="0"/>
      <w:bookmarkStart w:id="1" w:name="_GoBack"/>
      <w:bookmarkEnd w:id="0"/>
      <w:bookmarkEnd w:id="1"/>
      <w:r>
        <w:t>Smlouva o darování nemovité věci (jednotky)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podle § 2055 a násl. zákona č. 89/2012 Sb., občanský zákoník, v platném zn</w:t>
      </w:r>
      <w:r>
        <w:rPr>
          <w:sz w:val="24"/>
          <w:szCs w:val="24"/>
        </w:rPr>
        <w:t>ění</w:t>
      </w:r>
      <w:r>
        <w:rPr>
          <w:sz w:val="24"/>
          <w:szCs w:val="24"/>
        </w:rPr>
        <w:br/>
        <w:t>(dále jen „OZ“)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kterou uzavřely níže uvedeného dne tyto smluvní strany:</w:t>
      </w:r>
    </w:p>
    <w:p w:rsidR="00E04806" w:rsidRDefault="00B91970">
      <w:pPr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bCs/>
          <w:sz w:val="24"/>
          <w:szCs w:val="24"/>
        </w:rPr>
        <w:t>[</w:t>
      </w:r>
      <w:r>
        <w:rPr>
          <w:b/>
          <w:bCs/>
          <w:sz w:val="24"/>
          <w:szCs w:val="24"/>
          <w:highlight w:val="yellow"/>
        </w:rPr>
        <w:t>jméno</w:t>
      </w:r>
      <w:r>
        <w:rPr>
          <w:b/>
          <w:bCs/>
          <w:sz w:val="24"/>
          <w:szCs w:val="24"/>
        </w:rPr>
        <w:t>]</w:t>
      </w:r>
      <w:r>
        <w:rPr>
          <w:sz w:val="24"/>
          <w:szCs w:val="24"/>
        </w:rPr>
        <w:t xml:space="preserve">, r. č. </w:t>
      </w:r>
      <w:r>
        <w:rPr>
          <w:b/>
          <w:bCs/>
          <w:sz w:val="24"/>
          <w:szCs w:val="24"/>
        </w:rPr>
        <w:t>[</w:t>
      </w:r>
      <w:r>
        <w:rPr>
          <w:b/>
          <w:bCs/>
          <w:sz w:val="24"/>
          <w:szCs w:val="24"/>
          <w:highlight w:val="yellow"/>
        </w:rPr>
        <w:t>●</w:t>
      </w:r>
      <w:r>
        <w:rPr>
          <w:b/>
          <w:bCs/>
          <w:sz w:val="24"/>
          <w:szCs w:val="24"/>
        </w:rPr>
        <w:t>]</w:t>
      </w:r>
      <w:r>
        <w:rPr>
          <w:sz w:val="24"/>
          <w:szCs w:val="24"/>
        </w:rPr>
        <w:t xml:space="preserve">, trvale bytem </w:t>
      </w:r>
      <w:r>
        <w:rPr>
          <w:b/>
          <w:bCs/>
          <w:sz w:val="24"/>
          <w:szCs w:val="24"/>
          <w:highlight w:val="yellow"/>
        </w:rPr>
        <w:t>[●</w:t>
      </w:r>
      <w:r>
        <w:rPr>
          <w:b/>
          <w:bCs/>
          <w:sz w:val="24"/>
          <w:szCs w:val="24"/>
        </w:rPr>
        <w:t>]</w:t>
      </w:r>
      <w:r>
        <w:rPr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>……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 xml:space="preserve"> jako </w:t>
      </w:r>
      <w:r>
        <w:rPr>
          <w:b/>
          <w:bCs/>
          <w:sz w:val="24"/>
          <w:szCs w:val="24"/>
        </w:rPr>
        <w:t>dárce</w:t>
      </w:r>
      <w:r>
        <w:rPr>
          <w:sz w:val="24"/>
          <w:szCs w:val="24"/>
        </w:rPr>
        <w:t xml:space="preserve"> na straně jedné</w:t>
      </w:r>
      <w:r>
        <w:rPr>
          <w:sz w:val="24"/>
          <w:szCs w:val="24"/>
        </w:rPr>
        <w:br/>
        <w:t xml:space="preserve"> (dále též jen „dárce“)</w:t>
      </w:r>
    </w:p>
    <w:p w:rsidR="00E04806" w:rsidRDefault="00B91970">
      <w:pPr>
        <w:numPr>
          <w:ilvl w:val="0"/>
          <w:numId w:val="1"/>
        </w:numPr>
        <w:spacing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bCs/>
          <w:sz w:val="24"/>
          <w:szCs w:val="24"/>
          <w:highlight w:val="yellow"/>
        </w:rPr>
        <w:t>[jméno</w:t>
      </w:r>
      <w:r>
        <w:rPr>
          <w:b/>
          <w:bCs/>
          <w:sz w:val="24"/>
          <w:szCs w:val="24"/>
        </w:rPr>
        <w:t>]</w:t>
      </w:r>
      <w:r>
        <w:rPr>
          <w:sz w:val="24"/>
          <w:szCs w:val="24"/>
        </w:rPr>
        <w:t xml:space="preserve">, r. č. </w:t>
      </w:r>
      <w:r>
        <w:rPr>
          <w:b/>
          <w:bCs/>
          <w:sz w:val="24"/>
          <w:szCs w:val="24"/>
          <w:highlight w:val="yellow"/>
        </w:rPr>
        <w:t>[●</w:t>
      </w:r>
      <w:r>
        <w:rPr>
          <w:b/>
          <w:bCs/>
          <w:sz w:val="24"/>
          <w:szCs w:val="24"/>
        </w:rPr>
        <w:t>]</w:t>
      </w:r>
      <w:r>
        <w:rPr>
          <w:sz w:val="24"/>
          <w:szCs w:val="24"/>
        </w:rPr>
        <w:t xml:space="preserve">, trvale bytem </w:t>
      </w:r>
      <w:r>
        <w:rPr>
          <w:b/>
          <w:bCs/>
          <w:sz w:val="24"/>
          <w:szCs w:val="24"/>
        </w:rPr>
        <w:t>[</w:t>
      </w:r>
      <w:r>
        <w:rPr>
          <w:b/>
          <w:bCs/>
          <w:sz w:val="24"/>
          <w:szCs w:val="24"/>
          <w:highlight w:val="yellow"/>
        </w:rPr>
        <w:t>●</w:t>
      </w:r>
      <w:r>
        <w:rPr>
          <w:b/>
          <w:bCs/>
          <w:sz w:val="24"/>
          <w:szCs w:val="24"/>
        </w:rPr>
        <w:t>]</w:t>
      </w:r>
      <w:r>
        <w:rPr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>……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 xml:space="preserve"> jako </w:t>
      </w:r>
      <w:r>
        <w:rPr>
          <w:b/>
          <w:bCs/>
          <w:sz w:val="24"/>
          <w:szCs w:val="24"/>
        </w:rPr>
        <w:t>obdarovaný</w:t>
      </w:r>
      <w:r>
        <w:rPr>
          <w:sz w:val="24"/>
          <w:szCs w:val="24"/>
        </w:rPr>
        <w:t xml:space="preserve"> na straně druhé</w:t>
      </w:r>
      <w:r>
        <w:rPr>
          <w:sz w:val="24"/>
          <w:szCs w:val="24"/>
        </w:rPr>
        <w:br/>
        <w:t xml:space="preserve"> (dále též je</w:t>
      </w:r>
      <w:r>
        <w:rPr>
          <w:sz w:val="24"/>
          <w:szCs w:val="24"/>
        </w:rPr>
        <w:t>n „obdarovaný“)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v následujícím znění:</w:t>
      </w:r>
    </w:p>
    <w:p w:rsidR="00E04806" w:rsidRDefault="00B91970">
      <w:pPr>
        <w:pStyle w:val="Nadpis2"/>
        <w:keepNext w:val="0"/>
        <w:keepLines w:val="0"/>
        <w:spacing w:after="80"/>
        <w:jc w:val="both"/>
        <w:rPr>
          <w:b/>
          <w:bCs/>
          <w:sz w:val="34"/>
          <w:szCs w:val="34"/>
        </w:rPr>
      </w:pPr>
      <w:bookmarkStart w:id="2" w:name="_15s7dzd7rrmt" w:colFirst="0" w:colLast="0"/>
      <w:bookmarkEnd w:id="2"/>
      <w:r>
        <w:rPr>
          <w:b/>
          <w:bCs/>
          <w:sz w:val="34"/>
          <w:szCs w:val="34"/>
        </w:rPr>
        <w:t>1. Úvodní ustanovení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1.1</w:t>
      </w:r>
      <w:r>
        <w:rPr>
          <w:sz w:val="24"/>
          <w:szCs w:val="24"/>
        </w:rPr>
        <w:t xml:space="preserve"> Dárce prohlašuje, že vlastní následující nemovité věci: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a) jednotku č. </w:t>
      </w:r>
      <w:r>
        <w:rPr>
          <w:b/>
          <w:bCs/>
          <w:sz w:val="24"/>
          <w:szCs w:val="24"/>
          <w:highlight w:val="yellow"/>
        </w:rPr>
        <w:t>[●</w:t>
      </w:r>
      <w:r>
        <w:rPr>
          <w:b/>
          <w:bCs/>
          <w:sz w:val="24"/>
          <w:szCs w:val="24"/>
        </w:rPr>
        <w:t>]</w:t>
      </w:r>
      <w:r>
        <w:rPr>
          <w:sz w:val="24"/>
          <w:szCs w:val="24"/>
        </w:rPr>
        <w:t xml:space="preserve"> (byt), vymezenou dle zákona o vlastnictví bytů a umístěnou ve</w:t>
      </w:r>
      <w:r>
        <w:rPr>
          <w:b/>
          <w:bCs/>
          <w:sz w:val="24"/>
          <w:szCs w:val="24"/>
          <w:highlight w:val="yellow"/>
        </w:rPr>
        <w:t xml:space="preserve"> [●]</w:t>
      </w:r>
      <w:r>
        <w:rPr>
          <w:sz w:val="24"/>
          <w:szCs w:val="24"/>
        </w:rPr>
        <w:t xml:space="preserve">. nadzemním podlaží budovy č. p. </w:t>
      </w:r>
      <w:r>
        <w:rPr>
          <w:b/>
          <w:bCs/>
          <w:sz w:val="24"/>
          <w:szCs w:val="24"/>
          <w:highlight w:val="yellow"/>
        </w:rPr>
        <w:t>[●</w:t>
      </w:r>
      <w:r>
        <w:rPr>
          <w:b/>
          <w:bCs/>
          <w:sz w:val="24"/>
          <w:szCs w:val="24"/>
        </w:rPr>
        <w:t>]</w:t>
      </w:r>
      <w:r>
        <w:rPr>
          <w:sz w:val="24"/>
          <w:szCs w:val="24"/>
        </w:rPr>
        <w:t xml:space="preserve"> na pozemku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č.</w:t>
      </w:r>
      <w:proofErr w:type="gramEnd"/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  <w:highlight w:val="yellow"/>
        </w:rPr>
        <w:t>[●</w:t>
      </w:r>
      <w:r>
        <w:rPr>
          <w:b/>
          <w:bCs/>
          <w:sz w:val="24"/>
          <w:szCs w:val="24"/>
        </w:rPr>
        <w:t>]</w:t>
      </w:r>
      <w:r>
        <w:rPr>
          <w:sz w:val="24"/>
          <w:szCs w:val="24"/>
        </w:rPr>
        <w:t xml:space="preserve"> v k. </w:t>
      </w:r>
      <w:proofErr w:type="spellStart"/>
      <w:r>
        <w:rPr>
          <w:sz w:val="24"/>
          <w:szCs w:val="24"/>
        </w:rPr>
        <w:t>ú.</w:t>
      </w:r>
      <w:proofErr w:type="spellEnd"/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 xml:space="preserve"> (dále jen „byt“),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b) s vlastnictvím bytu neoddělitelně spojený spoluvlastnický podíl ve výši id. </w:t>
      </w:r>
      <w:r>
        <w:rPr>
          <w:b/>
          <w:bCs/>
          <w:sz w:val="24"/>
          <w:szCs w:val="24"/>
          <w:highlight w:val="yellow"/>
        </w:rPr>
        <w:t>[●</w:t>
      </w:r>
      <w:r>
        <w:rPr>
          <w:b/>
          <w:bCs/>
          <w:sz w:val="24"/>
          <w:szCs w:val="24"/>
        </w:rPr>
        <w:t>]</w:t>
      </w:r>
      <w:r>
        <w:rPr>
          <w:sz w:val="24"/>
          <w:szCs w:val="24"/>
        </w:rPr>
        <w:t xml:space="preserve"> z celku na společných částech budovy č. p.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 xml:space="preserve"> (bytový dům) na pozemku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č.</w:t>
      </w:r>
      <w:proofErr w:type="gramEnd"/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 xml:space="preserve"> v k. </w:t>
      </w:r>
      <w:proofErr w:type="spellStart"/>
      <w:r>
        <w:rPr>
          <w:sz w:val="24"/>
          <w:szCs w:val="24"/>
        </w:rPr>
        <w:t>ú.</w:t>
      </w:r>
      <w:proofErr w:type="spellEnd"/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>,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(shora popsané nemovi</w:t>
      </w:r>
      <w:r>
        <w:rPr>
          <w:sz w:val="24"/>
          <w:szCs w:val="24"/>
        </w:rPr>
        <w:t>tosti dále společně též jen „Předmět daru“)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Předmět daru je zapsán v katastru nemovitostí vedeném Katastrálním úřadem pro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 xml:space="preserve"> na LV č.</w:t>
      </w:r>
      <w:r>
        <w:rPr>
          <w:b/>
          <w:bCs/>
          <w:sz w:val="24"/>
          <w:szCs w:val="24"/>
          <w:highlight w:val="yellow"/>
        </w:rPr>
        <w:t xml:space="preserve"> [●</w:t>
      </w:r>
      <w:r>
        <w:rPr>
          <w:b/>
          <w:bCs/>
          <w:sz w:val="24"/>
          <w:szCs w:val="24"/>
        </w:rPr>
        <w:t>]</w:t>
      </w:r>
      <w:r>
        <w:rPr>
          <w:sz w:val="24"/>
          <w:szCs w:val="24"/>
        </w:rPr>
        <w:t xml:space="preserve"> (byt) a LV č.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 xml:space="preserve"> (budova), to vše v k. </w:t>
      </w:r>
      <w:proofErr w:type="spellStart"/>
      <w:r>
        <w:rPr>
          <w:sz w:val="24"/>
          <w:szCs w:val="24"/>
        </w:rPr>
        <w:t>ú.</w:t>
      </w:r>
      <w:proofErr w:type="spellEnd"/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>.</w:t>
      </w:r>
    </w:p>
    <w:p w:rsidR="00E04806" w:rsidRDefault="00E04806">
      <w:pPr>
        <w:pStyle w:val="Nadpis2"/>
        <w:keepNext w:val="0"/>
        <w:keepLines w:val="0"/>
        <w:spacing w:after="80"/>
        <w:jc w:val="both"/>
        <w:rPr>
          <w:b/>
          <w:bCs/>
          <w:sz w:val="34"/>
          <w:szCs w:val="34"/>
        </w:rPr>
      </w:pPr>
      <w:bookmarkStart w:id="3" w:name="_my1kkju76m0h" w:colFirst="0" w:colLast="0"/>
      <w:bookmarkEnd w:id="3"/>
    </w:p>
    <w:p w:rsidR="00E04806" w:rsidRDefault="00B91970">
      <w:pPr>
        <w:pStyle w:val="Nadpis2"/>
        <w:keepNext w:val="0"/>
        <w:keepLines w:val="0"/>
        <w:spacing w:after="80"/>
        <w:jc w:val="both"/>
        <w:rPr>
          <w:b/>
          <w:bCs/>
          <w:sz w:val="34"/>
          <w:szCs w:val="34"/>
        </w:rPr>
      </w:pPr>
      <w:bookmarkStart w:id="4" w:name="_mwlhx883bdlk" w:colFirst="0" w:colLast="0"/>
      <w:bookmarkEnd w:id="4"/>
      <w:r>
        <w:rPr>
          <w:b/>
          <w:bCs/>
          <w:sz w:val="34"/>
          <w:szCs w:val="34"/>
        </w:rPr>
        <w:t>2. Převod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2.1</w:t>
      </w:r>
      <w:r>
        <w:rPr>
          <w:sz w:val="24"/>
          <w:szCs w:val="24"/>
        </w:rPr>
        <w:t xml:space="preserve"> Dárce </w:t>
      </w:r>
      <w:proofErr w:type="gramStart"/>
      <w:r>
        <w:rPr>
          <w:sz w:val="24"/>
          <w:szCs w:val="24"/>
        </w:rPr>
        <w:t>se</w:t>
      </w:r>
      <w:proofErr w:type="gramEnd"/>
      <w:r>
        <w:rPr>
          <w:sz w:val="24"/>
          <w:szCs w:val="24"/>
        </w:rPr>
        <w:t xml:space="preserve"> touto smlouvou, ve smyslu </w:t>
      </w:r>
      <w:proofErr w:type="spellStart"/>
      <w:r>
        <w:rPr>
          <w:sz w:val="24"/>
          <w:szCs w:val="24"/>
        </w:rPr>
        <w:t>ust</w:t>
      </w:r>
      <w:proofErr w:type="spellEnd"/>
      <w:r>
        <w:rPr>
          <w:sz w:val="24"/>
          <w:szCs w:val="24"/>
        </w:rPr>
        <w:t xml:space="preserve">. § 2055 </w:t>
      </w:r>
      <w:proofErr w:type="spellStart"/>
      <w:r>
        <w:rPr>
          <w:sz w:val="24"/>
          <w:szCs w:val="24"/>
        </w:rPr>
        <w:t>obč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zá</w:t>
      </w:r>
      <w:r>
        <w:rPr>
          <w:sz w:val="24"/>
          <w:szCs w:val="24"/>
        </w:rPr>
        <w:t>koníku</w:t>
      </w:r>
      <w:proofErr w:type="gramEnd"/>
      <w:r>
        <w:rPr>
          <w:sz w:val="24"/>
          <w:szCs w:val="24"/>
        </w:rPr>
        <w:t>, zavazuje bezplatně převést předmět daru, specifikovaný v článku 1.1 této smlouvy, do vlastnictví Obdarovaného. Obdarovaný prohlašuje, že tento dar od Dárce přijímá.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2.2</w:t>
      </w:r>
      <w:r>
        <w:rPr>
          <w:sz w:val="24"/>
          <w:szCs w:val="24"/>
        </w:rPr>
        <w:t xml:space="preserve"> Vlastnické právo k Předmětu daru přechází na Obdarovaného vkladem tohoto práva </w:t>
      </w:r>
      <w:r>
        <w:rPr>
          <w:sz w:val="24"/>
          <w:szCs w:val="24"/>
        </w:rPr>
        <w:t xml:space="preserve">do katastru nemovitostí s účinky zpětně ke dni, kdy bude návrh na vklad </w:t>
      </w:r>
      <w:r>
        <w:rPr>
          <w:sz w:val="24"/>
          <w:szCs w:val="24"/>
        </w:rPr>
        <w:lastRenderedPageBreak/>
        <w:t>doručen příslušnému katastrálnímu úřadu. Do té doby jsou smluvní strany svými smluvními projevy vázány a Dárce nesmí s Předmětem daru disponovat jinak než dle této smlouvy.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2.3</w:t>
      </w:r>
      <w:r>
        <w:rPr>
          <w:sz w:val="24"/>
          <w:szCs w:val="24"/>
        </w:rPr>
        <w:t xml:space="preserve"> Bude-li</w:t>
      </w:r>
      <w:r>
        <w:rPr>
          <w:sz w:val="24"/>
          <w:szCs w:val="24"/>
        </w:rPr>
        <w:t xml:space="preserve"> návrh na zápis vkladu vlastnického práva z této smlouvy příslušným katastrálním úřadem zamítnut nebo bude-li řízení o povolení vkladu vlastnického práva založeného touto smlouvou přerušeno, zastaveno nebo budou-li smluvní strany vyzvány přísl. katastrální</w:t>
      </w:r>
      <w:r>
        <w:rPr>
          <w:sz w:val="24"/>
          <w:szCs w:val="24"/>
        </w:rPr>
        <w:t>m pracovištěm k doplnění návrhu na vklad anebo k jiné úpravě, jsou smluvní strany povinny neodkladně zajistit nápravu odstraněním veškerých překážek bránících povolení a provedení vkladu, včetně uzavření nové darovací smlouvy stejného účelu, obdobného obsa</w:t>
      </w:r>
      <w:r>
        <w:rPr>
          <w:sz w:val="24"/>
          <w:szCs w:val="24"/>
        </w:rPr>
        <w:t>hu a stejných obchodních podmínek, avšak s nápravou nedostatků vytknutých přísl. katastrálním pracovištěm.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2.4</w:t>
      </w:r>
      <w:r>
        <w:rPr>
          <w:sz w:val="24"/>
          <w:szCs w:val="24"/>
        </w:rPr>
        <w:t xml:space="preserve"> Smluvní strany výslovně svolují k tomu, aby byl podle této smlouvy na základě pravomocného rozhodnutí o povolení vkladu příslušného katastrálního</w:t>
      </w:r>
      <w:r>
        <w:rPr>
          <w:sz w:val="24"/>
          <w:szCs w:val="24"/>
        </w:rPr>
        <w:t xml:space="preserve"> úřadu proveden vklad údajů o právních vztazích touto darovací smlouvou založených.</w:t>
      </w:r>
    </w:p>
    <w:p w:rsidR="00E04806" w:rsidRDefault="00B91970">
      <w:pPr>
        <w:pStyle w:val="Nadpis2"/>
        <w:keepNext w:val="0"/>
        <w:keepLines w:val="0"/>
        <w:spacing w:after="80"/>
        <w:jc w:val="both"/>
        <w:rPr>
          <w:b/>
          <w:bCs/>
          <w:sz w:val="34"/>
          <w:szCs w:val="34"/>
        </w:rPr>
      </w:pPr>
      <w:bookmarkStart w:id="5" w:name="_y4dcj1rlehc2" w:colFirst="0" w:colLast="0"/>
      <w:bookmarkEnd w:id="5"/>
      <w:r>
        <w:rPr>
          <w:b/>
          <w:bCs/>
          <w:sz w:val="34"/>
          <w:szCs w:val="34"/>
        </w:rPr>
        <w:t>3. Předání nemovitosti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3.1</w:t>
      </w:r>
      <w:r>
        <w:rPr>
          <w:sz w:val="24"/>
          <w:szCs w:val="24"/>
        </w:rPr>
        <w:t xml:space="preserve"> Dárce se zavazuje Předmět daru předat Obdarovanému bez zbytečného odkladu poté, co dojde k povolení vkladu vlastnického práva k Předmětu daru ve prospěch Obdarovaného do katastru nemovitostí.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3.2</w:t>
      </w:r>
      <w:r>
        <w:rPr>
          <w:sz w:val="24"/>
          <w:szCs w:val="24"/>
        </w:rPr>
        <w:t xml:space="preserve"> Předáním Předmětu daru přechází na </w:t>
      </w:r>
      <w:proofErr w:type="gramStart"/>
      <w:r>
        <w:rPr>
          <w:sz w:val="24"/>
          <w:szCs w:val="24"/>
        </w:rPr>
        <w:t>Obdarovaného</w:t>
      </w:r>
      <w:proofErr w:type="gramEnd"/>
      <w:r>
        <w:rPr>
          <w:sz w:val="24"/>
          <w:szCs w:val="24"/>
        </w:rPr>
        <w:t xml:space="preserve"> nebezpečí v</w:t>
      </w:r>
      <w:r>
        <w:rPr>
          <w:sz w:val="24"/>
          <w:szCs w:val="24"/>
        </w:rPr>
        <w:t>zniku škody, nahodilé zkázy a nahodilého zhoršení na Předmětu daru.</w:t>
      </w:r>
    </w:p>
    <w:p w:rsidR="00E04806" w:rsidRDefault="00B91970">
      <w:pPr>
        <w:pStyle w:val="Nadpis2"/>
        <w:keepNext w:val="0"/>
        <w:keepLines w:val="0"/>
        <w:spacing w:after="80"/>
        <w:jc w:val="both"/>
        <w:rPr>
          <w:b/>
          <w:bCs/>
          <w:sz w:val="34"/>
          <w:szCs w:val="34"/>
        </w:rPr>
      </w:pPr>
      <w:bookmarkStart w:id="6" w:name="_adz4e21mx7ys" w:colFirst="0" w:colLast="0"/>
      <w:bookmarkEnd w:id="6"/>
      <w:r>
        <w:rPr>
          <w:b/>
          <w:bCs/>
          <w:sz w:val="34"/>
          <w:szCs w:val="34"/>
        </w:rPr>
        <w:t>4. Zmocnění pro vkladové řízení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4.1</w:t>
      </w:r>
      <w:r>
        <w:rPr>
          <w:sz w:val="24"/>
          <w:szCs w:val="24"/>
        </w:rPr>
        <w:t xml:space="preserve"> Smluvní strany zmocňují svými podpisy na této smlouvě Obdarovaného, aby je zastoupil před příslušným katastrálním úřadem v řízení o povolení vkladu věcn</w:t>
      </w:r>
      <w:r>
        <w:rPr>
          <w:sz w:val="24"/>
          <w:szCs w:val="24"/>
        </w:rPr>
        <w:t>ých práv založených touto smlouvou do katastru nemovitostí.</w:t>
      </w:r>
    </w:p>
    <w:p w:rsidR="00E04806" w:rsidRDefault="00B91970">
      <w:pPr>
        <w:pStyle w:val="Nadpis2"/>
        <w:keepNext w:val="0"/>
        <w:keepLines w:val="0"/>
        <w:spacing w:after="80"/>
        <w:jc w:val="both"/>
        <w:rPr>
          <w:b/>
          <w:bCs/>
          <w:sz w:val="34"/>
          <w:szCs w:val="34"/>
        </w:rPr>
      </w:pPr>
      <w:bookmarkStart w:id="7" w:name="_u327e2rd3rzj" w:colFirst="0" w:colLast="0"/>
      <w:bookmarkEnd w:id="7"/>
      <w:r>
        <w:rPr>
          <w:b/>
          <w:bCs/>
          <w:sz w:val="34"/>
          <w:szCs w:val="34"/>
        </w:rPr>
        <w:t>5. Daňová a poplatková povinnost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5.1</w:t>
      </w:r>
      <w:r>
        <w:rPr>
          <w:sz w:val="24"/>
          <w:szCs w:val="24"/>
        </w:rPr>
        <w:t xml:space="preserve"> Dárce je ve vztahu k Obdarovanému v příbuzenské linii přímé.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5.2</w:t>
      </w:r>
      <w:r>
        <w:rPr>
          <w:sz w:val="24"/>
          <w:szCs w:val="24"/>
        </w:rPr>
        <w:t xml:space="preserve"> Správní poplatek za řízení o provedení vkladu věcných práv na základě této smlouvy uhradí Obda</w:t>
      </w:r>
      <w:r>
        <w:rPr>
          <w:sz w:val="24"/>
          <w:szCs w:val="24"/>
        </w:rPr>
        <w:t>rovaný.</w:t>
      </w:r>
    </w:p>
    <w:p w:rsidR="00E04806" w:rsidRDefault="00B91970">
      <w:pPr>
        <w:pStyle w:val="Nadpis2"/>
        <w:keepNext w:val="0"/>
        <w:keepLines w:val="0"/>
        <w:spacing w:after="80"/>
        <w:jc w:val="both"/>
        <w:rPr>
          <w:b/>
          <w:bCs/>
          <w:sz w:val="34"/>
          <w:szCs w:val="34"/>
        </w:rPr>
      </w:pPr>
      <w:bookmarkStart w:id="8" w:name="_hkvh405asx5k" w:colFirst="0" w:colLast="0"/>
      <w:bookmarkEnd w:id="8"/>
      <w:r>
        <w:rPr>
          <w:b/>
          <w:bCs/>
          <w:sz w:val="34"/>
          <w:szCs w:val="34"/>
        </w:rPr>
        <w:t>6. Závěrečná ustanovení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6.1</w:t>
      </w:r>
      <w:r>
        <w:rPr>
          <w:sz w:val="24"/>
          <w:szCs w:val="24"/>
        </w:rPr>
        <w:t xml:space="preserve"> Tato smlouva a závazky z ní vyplývající nabývají platnosti a účinnosti dnem jejího uzavření, není-li v této smlouvě stanoveno jinak, přičemž její </w:t>
      </w:r>
      <w:proofErr w:type="spellStart"/>
      <w:r>
        <w:rPr>
          <w:sz w:val="24"/>
          <w:szCs w:val="24"/>
        </w:rPr>
        <w:t>věcněprávní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lastRenderedPageBreak/>
        <w:t>účinky nastanou provedením vkladu práv založených touto smlouv</w:t>
      </w:r>
      <w:r>
        <w:rPr>
          <w:sz w:val="24"/>
          <w:szCs w:val="24"/>
        </w:rPr>
        <w:t>ou do katastru nemovitostí s účinky zpětně ke dni podání návrhu na vklad.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6.2</w:t>
      </w:r>
      <w:r>
        <w:rPr>
          <w:sz w:val="24"/>
          <w:szCs w:val="24"/>
        </w:rPr>
        <w:t xml:space="preserve"> Veškeré dodatky a změny této smlouvy musí být činěny v písemné formě a musí být schváleny a podepsány oběma smluvními stranami, jinak jsou neplatné.</w: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6.3</w:t>
      </w:r>
      <w:r>
        <w:rPr>
          <w:sz w:val="24"/>
          <w:szCs w:val="24"/>
        </w:rPr>
        <w:t xml:space="preserve"> Tato smlouva je vyhotoven</w:t>
      </w:r>
      <w:r>
        <w:rPr>
          <w:sz w:val="24"/>
          <w:szCs w:val="24"/>
        </w:rPr>
        <w:t>a ve 3 (třech) stejnopisech, z nichž každý účastník obdrží 1 (jeden) stejnopis bezprostředně po jejím uzavření, 1 (jeden) stejnopis bude předložen příslušnému katastrálnímu úřadu spolu s návrhem na vklad.</w:t>
      </w:r>
    </w:p>
    <w:p w:rsidR="00E04806" w:rsidRDefault="00B91970">
      <w:pPr>
        <w:spacing w:before="240" w:after="240"/>
        <w:jc w:val="both"/>
        <w:rPr>
          <w:b/>
          <w:bCs/>
          <w:sz w:val="24"/>
          <w:szCs w:val="24"/>
          <w:highlight w:val="yellow"/>
        </w:rPr>
      </w:pPr>
      <w:r>
        <w:rPr>
          <w:b/>
          <w:bCs/>
          <w:sz w:val="24"/>
          <w:szCs w:val="24"/>
        </w:rPr>
        <w:t>6.4</w:t>
      </w:r>
      <w:r>
        <w:rPr>
          <w:sz w:val="24"/>
          <w:szCs w:val="24"/>
        </w:rPr>
        <w:t xml:space="preserve"> Tato smlouva obsahuje úplný konsensus smluvních stran o jejím obsahu a v tomto smyslu také nahrazuje všechny předchozí dohody, ujednání, sliby anebo prohlášení.</w:t>
      </w:r>
    </w:p>
    <w:p w:rsidR="00E04806" w:rsidRDefault="00B91970">
      <w:pPr>
        <w:spacing w:before="240" w:after="24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V </w:t>
      </w:r>
      <w:r>
        <w:rPr>
          <w:b/>
          <w:bCs/>
          <w:sz w:val="24"/>
          <w:szCs w:val="24"/>
        </w:rPr>
        <w:t>[</w:t>
      </w:r>
      <w:r>
        <w:rPr>
          <w:b/>
          <w:bCs/>
          <w:sz w:val="24"/>
          <w:szCs w:val="24"/>
          <w:highlight w:val="yellow"/>
        </w:rPr>
        <w:t>●</w:t>
      </w:r>
      <w:r>
        <w:rPr>
          <w:b/>
          <w:bCs/>
          <w:sz w:val="24"/>
          <w:szCs w:val="24"/>
        </w:rPr>
        <w:t>]</w:t>
      </w:r>
      <w:r>
        <w:rPr>
          <w:sz w:val="24"/>
          <w:szCs w:val="24"/>
        </w:rPr>
        <w:t xml:space="preserve"> dne </w:t>
      </w:r>
      <w:r>
        <w:rPr>
          <w:b/>
          <w:bCs/>
          <w:sz w:val="24"/>
          <w:szCs w:val="24"/>
        </w:rPr>
        <w:t>[</w:t>
      </w:r>
      <w:r>
        <w:rPr>
          <w:b/>
          <w:bCs/>
          <w:sz w:val="24"/>
          <w:szCs w:val="24"/>
          <w:highlight w:val="yellow"/>
        </w:rPr>
        <w:t>●</w:t>
      </w:r>
      <w:r>
        <w:rPr>
          <w:b/>
          <w:bCs/>
          <w:sz w:val="24"/>
          <w:szCs w:val="24"/>
        </w:rPr>
        <w:t>]</w:t>
      </w:r>
    </w:p>
    <w:p w:rsidR="00E04806" w:rsidRDefault="00E04806">
      <w:pPr>
        <w:spacing w:before="240" w:after="240"/>
        <w:jc w:val="both"/>
        <w:rPr>
          <w:b/>
          <w:bCs/>
          <w:sz w:val="24"/>
          <w:szCs w:val="24"/>
        </w:rPr>
      </w:pP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pict>
          <v:rect id="_x0000_i1025" style="width:0;height:1.5pt" o:hralign="center" o:hrstd="t" o:hr="t" fillcolor="#a0a0a0" stroked="f"/>
        </w:pict>
      </w:r>
    </w:p>
    <w:p w:rsidR="00E04806" w:rsidRDefault="00B91970">
      <w:pPr>
        <w:spacing w:before="240" w:after="24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[</w:t>
      </w:r>
      <w:r>
        <w:rPr>
          <w:b/>
          <w:bCs/>
          <w:sz w:val="24"/>
          <w:szCs w:val="24"/>
          <w:highlight w:val="yellow"/>
        </w:rPr>
        <w:t>●</w:t>
      </w:r>
      <w:r>
        <w:rPr>
          <w:b/>
          <w:bCs/>
          <w:sz w:val="24"/>
          <w:szCs w:val="24"/>
        </w:rPr>
        <w:t>]</w:t>
      </w:r>
    </w:p>
    <w:p w:rsidR="00E04806" w:rsidRDefault="00E04806">
      <w:pPr>
        <w:spacing w:before="240" w:after="240"/>
        <w:jc w:val="both"/>
        <w:rPr>
          <w:b/>
          <w:bCs/>
          <w:sz w:val="24"/>
          <w:szCs w:val="24"/>
        </w:rPr>
      </w:pP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pict>
          <v:rect id="_x0000_i1026" style="width:0;height:1.5pt" o:hralign="center" o:hrstd="t" o:hr="t" fillcolor="#a0a0a0" stroked="f"/>
        </w:pict>
      </w:r>
    </w:p>
    <w:p w:rsidR="00E04806" w:rsidRDefault="00B91970">
      <w:pPr>
        <w:spacing w:before="240" w:after="24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[</w:t>
      </w:r>
      <w:r>
        <w:rPr>
          <w:b/>
          <w:bCs/>
          <w:sz w:val="24"/>
          <w:szCs w:val="24"/>
          <w:highlight w:val="yellow"/>
        </w:rPr>
        <w:t>●</w:t>
      </w:r>
      <w:r>
        <w:rPr>
          <w:b/>
          <w:bCs/>
          <w:sz w:val="24"/>
          <w:szCs w:val="24"/>
        </w:rPr>
        <w:t>]</w:t>
      </w:r>
    </w:p>
    <w:p w:rsidR="00E04806" w:rsidRDefault="00E04806">
      <w:pPr>
        <w:spacing w:before="240" w:after="240"/>
        <w:jc w:val="both"/>
        <w:rPr>
          <w:sz w:val="24"/>
          <w:szCs w:val="24"/>
        </w:rPr>
      </w:pPr>
    </w:p>
    <w:p w:rsidR="00E04806" w:rsidRDefault="00E04806">
      <w:pPr>
        <w:spacing w:before="240" w:after="200"/>
        <w:jc w:val="both"/>
        <w:rPr>
          <w:sz w:val="24"/>
          <w:szCs w:val="24"/>
        </w:rPr>
      </w:pPr>
    </w:p>
    <w:p w:rsidR="00E04806" w:rsidRDefault="00B91970">
      <w:pPr>
        <w:spacing w:before="240" w:after="200"/>
        <w:jc w:val="both"/>
        <w:rPr>
          <w:sz w:val="24"/>
          <w:szCs w:val="24"/>
        </w:rPr>
      </w:pPr>
      <w:r>
        <w:pict>
          <v:rect id="_x0000_i1027" style="width:0;height:1.5pt" o:hralign="center" o:hrstd="t" o:hr="t" fillcolor="#a0a0a0" stroked="f"/>
        </w:pict>
      </w:r>
    </w:p>
    <w:p w:rsidR="00E04806" w:rsidRDefault="00B91970">
      <w:pPr>
        <w:spacing w:before="240" w:after="240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Dostupný advokát nenese žádnou odpovědnost za případnou újmu v</w:t>
      </w:r>
      <w:r>
        <w:rPr>
          <w:i/>
          <w:iCs/>
          <w:sz w:val="24"/>
          <w:szCs w:val="24"/>
        </w:rPr>
        <w:t>zniklou použitím obecného vzoru pro nevhodnou situaci.</w:t>
      </w:r>
    </w:p>
    <w:p w:rsidR="00E04806" w:rsidRDefault="00E04806">
      <w:pPr>
        <w:spacing w:before="240" w:after="240"/>
        <w:jc w:val="both"/>
        <w:rPr>
          <w:sz w:val="24"/>
          <w:szCs w:val="24"/>
        </w:rPr>
      </w:pPr>
    </w:p>
    <w:p w:rsidR="00E04806" w:rsidRDefault="00E04806"/>
    <w:sectPr w:rsidR="00E04806">
      <w:footerReference w:type="default" r:id="rId8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970" w:rsidRDefault="00B91970">
      <w:pPr>
        <w:spacing w:line="240" w:lineRule="auto"/>
      </w:pPr>
      <w:r>
        <w:separator/>
      </w:r>
    </w:p>
  </w:endnote>
  <w:endnote w:type="continuationSeparator" w:id="0">
    <w:p w:rsidR="00B91970" w:rsidRDefault="00B9197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F672DF0B-D359-46D5-BC41-8481690B85CC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F2747C62-4AEC-4A79-903D-B26A7603670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4806" w:rsidRDefault="00B91970">
    <w:pPr>
      <w:rPr>
        <w:color w:val="53B924"/>
        <w:sz w:val="14"/>
        <w:szCs w:val="14"/>
      </w:rPr>
    </w:pPr>
    <w:r>
      <w:t xml:space="preserve">          </w:t>
    </w:r>
    <w:r>
      <w:rPr>
        <w:sz w:val="14"/>
        <w:szCs w:val="14"/>
      </w:rPr>
      <w:t xml:space="preserve"> </w:t>
    </w:r>
    <w:hyperlink r:id="rId1">
      <w:r>
        <w:rPr>
          <w:color w:val="434343"/>
          <w:sz w:val="14"/>
          <w:szCs w:val="14"/>
          <w:u w:val="single"/>
        </w:rPr>
        <w:t>info@dostupnyadvokat.cz</w:t>
      </w:r>
    </w:hyperlink>
    <w:r>
      <w:rPr>
        <w:color w:val="434343"/>
        <w:sz w:val="14"/>
        <w:szCs w:val="14"/>
      </w:rPr>
      <w:t xml:space="preserve"> </w:t>
    </w:r>
    <w:r>
      <w:rPr>
        <w:color w:val="434343"/>
        <w:sz w:val="14"/>
        <w:szCs w:val="14"/>
      </w:rPr>
      <w:tab/>
      <w:t xml:space="preserve">                    </w:t>
    </w:r>
    <w:proofErr w:type="spellStart"/>
    <w:proofErr w:type="gramStart"/>
    <w:r>
      <w:rPr>
        <w:color w:val="434343"/>
        <w:sz w:val="14"/>
        <w:szCs w:val="14"/>
      </w:rPr>
      <w:t>tel.č</w:t>
    </w:r>
    <w:proofErr w:type="spellEnd"/>
    <w:r>
      <w:rPr>
        <w:color w:val="434343"/>
        <w:sz w:val="14"/>
        <w:szCs w:val="14"/>
      </w:rPr>
      <w:t>.</w:t>
    </w:r>
    <w:proofErr w:type="gramEnd"/>
    <w:r>
      <w:rPr>
        <w:color w:val="434343"/>
        <w:sz w:val="14"/>
        <w:szCs w:val="14"/>
      </w:rPr>
      <w:t xml:space="preserve"> </w:t>
    </w:r>
    <w:r>
      <w:rPr>
        <w:color w:val="434343"/>
        <w:sz w:val="14"/>
        <w:szCs w:val="14"/>
        <w:highlight w:val="white"/>
      </w:rPr>
      <w:t xml:space="preserve">+420 246 045 055            </w:t>
    </w:r>
    <w:r>
      <w:rPr>
        <w:color w:val="434343"/>
        <w:sz w:val="14"/>
        <w:szCs w:val="14"/>
        <w:highlight w:val="white"/>
      </w:rPr>
      <w:tab/>
    </w:r>
    <w:r>
      <w:rPr>
        <w:color w:val="53B924"/>
        <w:sz w:val="14"/>
        <w:szCs w:val="14"/>
        <w:highlight w:val="white"/>
      </w:rPr>
      <w:t>www.dostupnyadvokat.cz</w:t>
    </w:r>
    <w:r>
      <w:rPr>
        <w:noProof/>
        <w:lang w:val="cs-CZ"/>
      </w:rPr>
      <w:drawing>
        <wp:anchor distT="114300" distB="114300" distL="114300" distR="114300" simplePos="0" relativeHeight="251658240" behindDoc="0" locked="0" layoutInCell="1" hidden="0" allowOverlap="1">
          <wp:simplePos x="0" y="0"/>
          <wp:positionH relativeFrom="column">
            <wp:posOffset>1</wp:posOffset>
          </wp:positionH>
          <wp:positionV relativeFrom="paragraph">
            <wp:posOffset>-28574</wp:posOffset>
          </wp:positionV>
          <wp:extent cx="1100138" cy="259318"/>
          <wp:effectExtent l="0" t="0" r="0" b="0"/>
          <wp:wrapSquare wrapText="bothSides" distT="114300" distB="11430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00138" cy="25931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970" w:rsidRDefault="00B91970">
      <w:pPr>
        <w:spacing w:line="240" w:lineRule="auto"/>
      </w:pPr>
      <w:r>
        <w:separator/>
      </w:r>
    </w:p>
  </w:footnote>
  <w:footnote w:type="continuationSeparator" w:id="0">
    <w:p w:rsidR="00B91970" w:rsidRDefault="00B9197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6C5C61"/>
    <w:multiLevelType w:val="multilevel"/>
    <w:tmpl w:val="84AE90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E04806"/>
    <w:rsid w:val="00AE79CC"/>
    <w:rsid w:val="00B91970"/>
    <w:rsid w:val="00E04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info@dostupnyadvokat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625</Words>
  <Characters>3691</Characters>
  <Application>Microsoft Office Word</Application>
  <DocSecurity>0</DocSecurity>
  <Lines>30</Lines>
  <Paragraphs>8</Paragraphs>
  <ScaleCrop>false</ScaleCrop>
  <Company/>
  <LinksUpToDate>false</LinksUpToDate>
  <CharactersWithSpaces>4308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Dominika Novakova</cp:lastModifiedBy>
  <cp:revision>2</cp:revision>
  <dcterms:created xsi:type="dcterms:W3CDTF">2026-05-07T06:09:00Z</dcterms:created>
  <dcterms:modified xsi:type="dcterms:W3CDTF">2026-05-07T06:09:00Z</dcterms:modified>
</cp:coreProperties>
</file>