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FD2A" w14:textId="0F66EE0F" w:rsidR="00753EC1" w:rsidRPr="00454AC3" w:rsidRDefault="00143C9B" w:rsidP="00333852">
      <w:pPr>
        <w:pStyle w:val="Odstavecseseznamem2"/>
        <w:keepNext/>
        <w:keepLines/>
        <w:spacing w:after="240" w:line="276" w:lineRule="auto"/>
        <w:ind w:left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bookmarkStart w:id="0" w:name="_GoBack"/>
      <w:bookmarkEnd w:id="0"/>
      <w:r w:rsidRPr="00454AC3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C844BB" w:rsidRPr="00454AC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70F081D6" w14:textId="29B52E26" w:rsidR="002E288B" w:rsidRPr="00454AC3" w:rsidRDefault="006D5B53" w:rsidP="2EE187F6">
      <w:pPr>
        <w:pStyle w:val="Odstavecseseznamem2"/>
        <w:keepNext/>
        <w:keepLines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Závěrečná z</w:t>
      </w:r>
      <w:r w:rsidR="00C844B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práv</w:t>
      </w:r>
      <w:r w:rsidR="00631FF9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a</w:t>
      </w:r>
      <w:r w:rsidR="00C844B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E4427D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o</w:t>
      </w:r>
      <w:r w:rsidR="000D3CC9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 </w:t>
      </w:r>
      <w:r w:rsidR="00995B5E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výsledcích </w:t>
      </w:r>
      <w:r w:rsidR="00C844B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realizac</w:t>
      </w:r>
      <w:r w:rsidR="00995B5E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e</w:t>
      </w:r>
      <w:r w:rsidR="00C844B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Strategie</w:t>
      </w:r>
      <w:r w:rsidR="00631FF9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rozvoje zemského digitálního televizního vysílání</w:t>
      </w:r>
      <w:r w:rsidR="002E288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E62653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za </w:t>
      </w:r>
      <w:r w:rsidR="00995B5E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období </w:t>
      </w:r>
      <w:r w:rsidR="002E288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201</w:t>
      </w:r>
      <w:r w:rsidR="00995B5E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6-2020</w:t>
      </w:r>
      <w:r w:rsidR="009511AF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 w:rsidR="5C771551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p</w:t>
      </w:r>
      <w:r w:rsidR="009511AF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řechod na </w:t>
      </w:r>
      <w:r w:rsidR="6245F079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standard </w:t>
      </w:r>
      <w:r w:rsidR="009511AF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DVB-T2</w:t>
      </w:r>
      <w:r w:rsidR="00C844BB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8D01E2" w:rsidRPr="00454AC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5B922C4C" w14:textId="7F354E21" w:rsidR="00291274" w:rsidRPr="00454AC3" w:rsidRDefault="006D5B53" w:rsidP="006D5B53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503773908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Závěrečná zpráva </w:t>
      </w:r>
      <w:r w:rsidR="00995B5E" w:rsidRPr="00454AC3">
        <w:rPr>
          <w:rFonts w:ascii="Arial" w:hAnsi="Arial" w:cs="Arial"/>
          <w:color w:val="000000" w:themeColor="text1"/>
          <w:sz w:val="24"/>
          <w:szCs w:val="24"/>
        </w:rPr>
        <w:t xml:space="preserve">shrnuje celý proces přechodu </w:t>
      </w:r>
      <w:r w:rsidR="155422A8" w:rsidRPr="00454AC3">
        <w:rPr>
          <w:rFonts w:ascii="Arial" w:hAnsi="Arial" w:cs="Arial"/>
          <w:color w:val="000000" w:themeColor="text1"/>
          <w:sz w:val="24"/>
          <w:szCs w:val="24"/>
        </w:rPr>
        <w:t xml:space="preserve">zemského digitálního televizního vysílání ze standardu DVB-T na standard DVB-T2 </w:t>
      </w:r>
      <w:r w:rsidR="00995B5E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995B5E" w:rsidRPr="00454AC3">
        <w:rPr>
          <w:rFonts w:ascii="Arial" w:hAnsi="Arial" w:cs="Arial"/>
          <w:color w:val="000000" w:themeColor="text1"/>
          <w:sz w:val="24"/>
          <w:szCs w:val="24"/>
        </w:rPr>
        <w:t>jeho výsledky</w:t>
      </w:r>
      <w:r w:rsidR="00DF42EA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F42EA" w:rsidRPr="00454AC3">
        <w:rPr>
          <w:rFonts w:ascii="Arial" w:hAnsi="Arial" w:cs="Arial"/>
          <w:color w:val="000000" w:themeColor="text1"/>
          <w:sz w:val="24"/>
          <w:szCs w:val="24"/>
        </w:rPr>
        <w:t xml:space="preserve">zároveň </w:t>
      </w:r>
      <w:r w:rsidR="002E2046" w:rsidRPr="00454AC3">
        <w:rPr>
          <w:rFonts w:ascii="Arial" w:hAnsi="Arial" w:cs="Arial"/>
          <w:color w:val="000000" w:themeColor="text1"/>
          <w:sz w:val="24"/>
          <w:szCs w:val="24"/>
        </w:rPr>
        <w:t>na základě vyhodnocení situace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2E2046" w:rsidRPr="00454AC3">
        <w:rPr>
          <w:rFonts w:ascii="Arial" w:hAnsi="Arial" w:cs="Arial"/>
          <w:color w:val="000000" w:themeColor="text1"/>
          <w:sz w:val="24"/>
          <w:szCs w:val="24"/>
        </w:rPr>
        <w:t xml:space="preserve">očekávaného vývoje </w:t>
      </w:r>
      <w:r w:rsidR="00DF42EA" w:rsidRPr="00454AC3">
        <w:rPr>
          <w:rFonts w:ascii="Arial" w:hAnsi="Arial" w:cs="Arial"/>
          <w:color w:val="000000" w:themeColor="text1"/>
          <w:sz w:val="24"/>
          <w:szCs w:val="24"/>
        </w:rPr>
        <w:t xml:space="preserve">obsahuje návrh </w:t>
      </w:r>
      <w:r w:rsidR="00A3252F" w:rsidRPr="00454AC3">
        <w:rPr>
          <w:rFonts w:ascii="Arial" w:hAnsi="Arial" w:cs="Arial"/>
          <w:color w:val="000000" w:themeColor="text1"/>
          <w:sz w:val="24"/>
          <w:szCs w:val="24"/>
        </w:rPr>
        <w:t xml:space="preserve">témat </w:t>
      </w:r>
      <w:r w:rsidR="3D56DE0A" w:rsidRPr="00454AC3">
        <w:rPr>
          <w:rFonts w:ascii="Arial" w:hAnsi="Arial" w:cs="Arial"/>
          <w:color w:val="000000" w:themeColor="text1"/>
          <w:sz w:val="24"/>
          <w:szCs w:val="24"/>
        </w:rPr>
        <w:t>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F42EA" w:rsidRPr="00454AC3">
        <w:rPr>
          <w:rFonts w:ascii="Arial" w:hAnsi="Arial" w:cs="Arial"/>
          <w:color w:val="000000" w:themeColor="text1"/>
          <w:sz w:val="24"/>
          <w:szCs w:val="24"/>
        </w:rPr>
        <w:t>rozvoj</w:t>
      </w:r>
      <w:r w:rsidR="4B904F44" w:rsidRPr="00454AC3">
        <w:rPr>
          <w:rFonts w:ascii="Arial" w:hAnsi="Arial" w:cs="Arial"/>
          <w:color w:val="000000" w:themeColor="text1"/>
          <w:sz w:val="24"/>
          <w:szCs w:val="24"/>
        </w:rPr>
        <w:t>i</w:t>
      </w:r>
      <w:r w:rsidR="00DF42EA" w:rsidRPr="00454AC3">
        <w:rPr>
          <w:rFonts w:ascii="Arial" w:hAnsi="Arial" w:cs="Arial"/>
          <w:color w:val="000000" w:themeColor="text1"/>
          <w:sz w:val="24"/>
          <w:szCs w:val="24"/>
        </w:rPr>
        <w:t xml:space="preserve"> zemského televizního vysílání</w:t>
      </w:r>
      <w:r w:rsidR="0071403C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A2D" w:rsidRPr="00454AC3">
        <w:rPr>
          <w:rFonts w:ascii="Arial" w:hAnsi="Arial" w:cs="Arial"/>
          <w:color w:val="000000" w:themeColor="text1"/>
          <w:sz w:val="24"/>
          <w:szCs w:val="24"/>
        </w:rPr>
        <w:t>na další období do roku 2030</w:t>
      </w:r>
      <w:r w:rsidR="00C844BB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C173C7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C77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F47C77" w:rsidRPr="00454AC3">
        <w:rPr>
          <w:rFonts w:ascii="Arial" w:hAnsi="Arial" w:cs="Arial"/>
          <w:color w:val="000000" w:themeColor="text1"/>
          <w:sz w:val="24"/>
          <w:szCs w:val="24"/>
        </w:rPr>
        <w:t xml:space="preserve">Příloze č.1 </w:t>
      </w:r>
      <w:r w:rsidR="3DC5A6B4" w:rsidRPr="00454AC3">
        <w:rPr>
          <w:rFonts w:ascii="Arial" w:hAnsi="Arial" w:cs="Arial"/>
          <w:color w:val="000000" w:themeColor="text1"/>
          <w:sz w:val="24"/>
          <w:szCs w:val="24"/>
        </w:rPr>
        <w:t>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DC5A6B4" w:rsidRPr="00454AC3">
        <w:rPr>
          <w:rFonts w:ascii="Arial" w:hAnsi="Arial" w:cs="Arial"/>
          <w:color w:val="000000" w:themeColor="text1"/>
          <w:sz w:val="24"/>
          <w:szCs w:val="24"/>
        </w:rPr>
        <w:t>této zp</w:t>
      </w:r>
      <w:r w:rsidR="3C12F64F" w:rsidRPr="00454AC3">
        <w:rPr>
          <w:rFonts w:ascii="Arial" w:hAnsi="Arial" w:cs="Arial"/>
          <w:color w:val="000000" w:themeColor="text1"/>
          <w:sz w:val="24"/>
          <w:szCs w:val="24"/>
        </w:rPr>
        <w:t>r</w:t>
      </w:r>
      <w:r w:rsidR="3DC5A6B4" w:rsidRPr="00454AC3">
        <w:rPr>
          <w:rFonts w:ascii="Arial" w:hAnsi="Arial" w:cs="Arial"/>
          <w:color w:val="000000" w:themeColor="text1"/>
          <w:sz w:val="24"/>
          <w:szCs w:val="24"/>
        </w:rPr>
        <w:t xml:space="preserve">ávě </w:t>
      </w:r>
      <w:r w:rsidR="00F47C77" w:rsidRPr="00454AC3">
        <w:rPr>
          <w:rFonts w:ascii="Arial" w:hAnsi="Arial" w:cs="Arial"/>
          <w:color w:val="000000" w:themeColor="text1"/>
          <w:sz w:val="24"/>
          <w:szCs w:val="24"/>
        </w:rPr>
        <w:t xml:space="preserve">jsou uvedeny </w:t>
      </w:r>
      <w:r w:rsidR="0D623920" w:rsidRPr="00454AC3">
        <w:rPr>
          <w:rFonts w:ascii="Arial" w:hAnsi="Arial" w:cs="Arial"/>
          <w:color w:val="000000" w:themeColor="text1"/>
          <w:sz w:val="24"/>
          <w:szCs w:val="24"/>
        </w:rPr>
        <w:t>další</w:t>
      </w:r>
      <w:r w:rsidR="00F47C77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podrobnosti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486DDB" w:rsidRPr="00454AC3">
        <w:rPr>
          <w:rFonts w:ascii="Arial" w:hAnsi="Arial" w:cs="Arial"/>
          <w:color w:val="000000" w:themeColor="text1"/>
          <w:sz w:val="24"/>
          <w:szCs w:val="24"/>
        </w:rPr>
        <w:t xml:space="preserve">jednotlivým </w:t>
      </w:r>
      <w:r w:rsidR="3A1C764B" w:rsidRPr="00454AC3">
        <w:rPr>
          <w:rFonts w:ascii="Arial" w:hAnsi="Arial" w:cs="Arial"/>
          <w:color w:val="000000" w:themeColor="text1"/>
          <w:sz w:val="24"/>
          <w:szCs w:val="24"/>
        </w:rPr>
        <w:t>aspektům</w:t>
      </w:r>
      <w:r w:rsidR="00486DD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C77" w:rsidRPr="00454AC3">
        <w:rPr>
          <w:rFonts w:ascii="Arial" w:hAnsi="Arial" w:cs="Arial"/>
          <w:color w:val="000000" w:themeColor="text1"/>
          <w:sz w:val="24"/>
          <w:szCs w:val="24"/>
        </w:rPr>
        <w:t>procesu přechodu.</w:t>
      </w:r>
      <w:r w:rsidR="6CDB727F" w:rsidRPr="00454AC3">
        <w:rPr>
          <w:rFonts w:ascii="Arial" w:hAnsi="Arial" w:cs="Arial"/>
          <w:color w:val="000000" w:themeColor="text1"/>
          <w:sz w:val="24"/>
          <w:szCs w:val="24"/>
        </w:rPr>
        <w:t xml:space="preserve"> Příloha č. 2 obsahuje seznam zkratek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6CDB727F" w:rsidRPr="00454AC3">
        <w:rPr>
          <w:rFonts w:ascii="Arial" w:hAnsi="Arial" w:cs="Arial"/>
          <w:color w:val="000000" w:themeColor="text1"/>
          <w:sz w:val="24"/>
          <w:szCs w:val="24"/>
        </w:rPr>
        <w:t>pojmů.</w:t>
      </w:r>
    </w:p>
    <w:p w14:paraId="38B8DBF3" w14:textId="06864446" w:rsidR="00965CC1" w:rsidRPr="00454AC3" w:rsidRDefault="770C59C5" w:rsidP="017A9F3E">
      <w:pPr>
        <w:pStyle w:val="Odstavecseseznamem2"/>
        <w:spacing w:after="240" w:line="276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Úvod</w:t>
      </w:r>
    </w:p>
    <w:p w14:paraId="573ABD01" w14:textId="7BC0F50B" w:rsidR="007A4C7D" w:rsidRPr="00454AC3" w:rsidRDefault="007A4C7D" w:rsidP="007A4C7D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V roce 2015 bylo na jednání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>Světové konference Mezinárodní telekomunikační unie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(ITU) </w:t>
      </w:r>
      <w:r w:rsidR="6FE5862C" w:rsidRPr="00454AC3">
        <w:rPr>
          <w:rFonts w:ascii="Arial" w:hAnsi="Arial" w:cs="Arial"/>
          <w:color w:val="000000" w:themeColor="text1"/>
          <w:sz w:val="24"/>
          <w:szCs w:val="24"/>
        </w:rPr>
        <w:t>– (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WRC-2015) rozhodnuto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harmonizaci pásma 694–790 MHz, které bylo dosud obvykle používáno pro zemské televizní vysílání, pro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systémy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IMT</w:t>
      </w:r>
      <w:r w:rsidR="083684C8" w:rsidRPr="00454AC3">
        <w:rPr>
          <w:rFonts w:ascii="Arial" w:hAnsi="Arial" w:cs="Arial"/>
          <w:color w:val="000000" w:themeColor="text1"/>
          <w:sz w:val="24"/>
          <w:szCs w:val="24"/>
        </w:rPr>
        <w:t xml:space="preserve">, tj. </w:t>
      </w:r>
      <w:r w:rsidR="3B4DE11B" w:rsidRPr="00454AC3">
        <w:rPr>
          <w:rFonts w:ascii="Arial" w:hAnsi="Arial" w:cs="Arial"/>
          <w:color w:val="000000" w:themeColor="text1"/>
          <w:sz w:val="24"/>
          <w:szCs w:val="24"/>
        </w:rPr>
        <w:t>m</w:t>
      </w:r>
      <w:r w:rsidR="083684C8" w:rsidRPr="00454AC3">
        <w:rPr>
          <w:rFonts w:ascii="Arial" w:hAnsi="Arial" w:cs="Arial"/>
          <w:color w:val="000000" w:themeColor="text1"/>
          <w:sz w:val="24"/>
          <w:szCs w:val="24"/>
        </w:rPr>
        <w:t>obilních datových služeb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Evropská komise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následně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zahájila přípravu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harmonizačního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rozhodnutí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budoucím využívání kmitočtového pásma 470–790 MHz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EU na konci roku 2015.</w:t>
      </w:r>
    </w:p>
    <w:p w14:paraId="26DAC2EF" w14:textId="66F21FB2" w:rsidR="00290CF5" w:rsidRPr="00454AC3" w:rsidRDefault="00290CF5" w:rsidP="6DFA6652">
      <w:pPr>
        <w:pStyle w:val="Odstavecseseznamem2"/>
        <w:spacing w:after="24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5621EB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roce 2017 bylo přijato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přímo </w:t>
      </w:r>
      <w:r w:rsidR="00C7164F" w:rsidRPr="00454AC3">
        <w:rPr>
          <w:rFonts w:ascii="Arial" w:hAnsi="Arial" w:cs="Arial"/>
          <w:color w:val="000000" w:themeColor="text1"/>
          <w:sz w:val="24"/>
          <w:szCs w:val="24"/>
        </w:rPr>
        <w:t xml:space="preserve">závazné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prováděcí 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>R</w:t>
      </w:r>
      <w:r w:rsidR="6001875C" w:rsidRPr="00454AC3">
        <w:rPr>
          <w:rFonts w:ascii="Arial" w:hAnsi="Arial" w:cs="Arial"/>
          <w:color w:val="000000" w:themeColor="text1"/>
          <w:sz w:val="24"/>
          <w:szCs w:val="24"/>
        </w:rPr>
        <w:t>ozhodnutí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5DD63A3E" w:rsidRPr="00454AC3">
        <w:rPr>
          <w:rFonts w:ascii="Arial" w:hAnsi="Arial" w:cs="Arial"/>
          <w:color w:val="000000" w:themeColor="text1"/>
          <w:sz w:val="24"/>
          <w:szCs w:val="24"/>
        </w:rPr>
        <w:t>vropského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A48C6B4" w:rsidRPr="00454AC3">
        <w:rPr>
          <w:rFonts w:ascii="Arial" w:hAnsi="Arial" w:cs="Arial"/>
          <w:color w:val="000000" w:themeColor="text1"/>
          <w:sz w:val="24"/>
          <w:szCs w:val="24"/>
        </w:rPr>
        <w:t>parlamen</w:t>
      </w:r>
      <w:r w:rsidR="001A3E96" w:rsidRPr="00454AC3">
        <w:rPr>
          <w:rFonts w:ascii="Arial" w:hAnsi="Arial" w:cs="Arial"/>
          <w:color w:val="000000" w:themeColor="text1"/>
          <w:sz w:val="24"/>
          <w:szCs w:val="24"/>
        </w:rPr>
        <w:t>t</w:t>
      </w:r>
      <w:r w:rsidR="6A48C6B4" w:rsidRPr="00454AC3">
        <w:rPr>
          <w:rFonts w:ascii="Arial" w:hAnsi="Arial" w:cs="Arial"/>
          <w:color w:val="000000" w:themeColor="text1"/>
          <w:sz w:val="24"/>
          <w:szCs w:val="24"/>
        </w:rPr>
        <w:t>u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2FF19E8E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78017552" w:rsidRPr="00454AC3">
        <w:rPr>
          <w:rFonts w:ascii="Arial" w:hAnsi="Arial" w:cs="Arial"/>
          <w:color w:val="000000" w:themeColor="text1"/>
          <w:sz w:val="24"/>
          <w:szCs w:val="24"/>
        </w:rPr>
        <w:t>Rady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 xml:space="preserve"> (EU) 2017/899 ze dne 17. května 2017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>využívání kmitočtového pásma 470–790 MHz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C2DCB" w:rsidRPr="00454AC3">
        <w:rPr>
          <w:rFonts w:ascii="Arial" w:hAnsi="Arial" w:cs="Arial"/>
          <w:color w:val="000000" w:themeColor="text1"/>
          <w:sz w:val="24"/>
          <w:szCs w:val="24"/>
        </w:rPr>
        <w:t xml:space="preserve">Unii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(dále jen „Evropské rozhodnutí“). </w:t>
      </w:r>
      <w:r w:rsidR="7CF4DEF8" w:rsidRPr="00454AC3">
        <w:rPr>
          <w:rFonts w:ascii="Arial" w:hAnsi="Arial" w:cs="Arial"/>
          <w:color w:val="000000" w:themeColor="text1"/>
          <w:sz w:val="24"/>
          <w:szCs w:val="24"/>
        </w:rPr>
        <w:t>Česká repub</w:t>
      </w:r>
      <w:r w:rsidR="4CFB8500" w:rsidRPr="00454AC3">
        <w:rPr>
          <w:rFonts w:ascii="Arial" w:hAnsi="Arial" w:cs="Arial"/>
          <w:color w:val="000000" w:themeColor="text1"/>
          <w:sz w:val="24"/>
          <w:szCs w:val="24"/>
        </w:rPr>
        <w:t xml:space="preserve">lika při přípravě </w:t>
      </w:r>
      <w:r w:rsidR="728D82AF" w:rsidRPr="00454AC3">
        <w:rPr>
          <w:rFonts w:ascii="Arial" w:hAnsi="Arial" w:cs="Arial"/>
          <w:color w:val="000000" w:themeColor="text1"/>
          <w:sz w:val="24"/>
          <w:szCs w:val="24"/>
        </w:rPr>
        <w:t>S</w:t>
      </w:r>
      <w:r w:rsidR="4CFB8500" w:rsidRPr="00454AC3">
        <w:rPr>
          <w:rFonts w:ascii="Arial" w:hAnsi="Arial" w:cs="Arial"/>
          <w:color w:val="000000" w:themeColor="text1"/>
          <w:sz w:val="24"/>
          <w:szCs w:val="24"/>
        </w:rPr>
        <w:t xml:space="preserve">trategie rozvoje zemského digitálního televizního vysílání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reagovala (na základě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výsledků WRC 2015, </w:t>
      </w:r>
      <w:r w:rsidR="00EE1F8D" w:rsidRPr="00454AC3">
        <w:rPr>
          <w:rFonts w:ascii="Arial" w:hAnsi="Arial" w:cs="Arial"/>
          <w:color w:val="000000" w:themeColor="text1"/>
          <w:sz w:val="24"/>
          <w:szCs w:val="24"/>
        </w:rPr>
        <w:t xml:space="preserve">tzv. </w:t>
      </w:r>
      <w:proofErr w:type="spellStart"/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Lamyho</w:t>
      </w:r>
      <w:proofErr w:type="spellEnd"/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zprávy</w:t>
      </w:r>
      <w:r w:rsidR="00647966" w:rsidRPr="00454AC3">
        <w:rPr>
          <w:rStyle w:val="Znakapoznpodarou"/>
          <w:rFonts w:ascii="Arial" w:hAnsi="Arial"/>
          <w:color w:val="000000" w:themeColor="text1"/>
          <w:sz w:val="24"/>
          <w:szCs w:val="24"/>
        </w:rPr>
        <w:footnoteReference w:id="2"/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postupně projednávaných </w:t>
      </w:r>
      <w:r w:rsidR="09ACA249" w:rsidRPr="00454AC3">
        <w:rPr>
          <w:rFonts w:ascii="Arial" w:hAnsi="Arial" w:cs="Arial"/>
          <w:color w:val="000000" w:themeColor="text1"/>
          <w:sz w:val="24"/>
          <w:szCs w:val="24"/>
        </w:rPr>
        <w:t xml:space="preserve">legislativních </w:t>
      </w:r>
      <w:r w:rsidR="00E9598F" w:rsidRPr="00454AC3">
        <w:rPr>
          <w:rFonts w:ascii="Arial" w:hAnsi="Arial" w:cs="Arial"/>
          <w:color w:val="000000" w:themeColor="text1"/>
          <w:sz w:val="24"/>
          <w:szCs w:val="24"/>
        </w:rPr>
        <w:t xml:space="preserve">návrhů </w:t>
      </w:r>
      <w:r w:rsidR="0090695B" w:rsidRPr="00454AC3">
        <w:rPr>
          <w:rFonts w:ascii="Arial" w:hAnsi="Arial" w:cs="Arial"/>
          <w:color w:val="000000" w:themeColor="text1"/>
          <w:sz w:val="24"/>
          <w:szCs w:val="24"/>
        </w:rPr>
        <w:t>E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vropského rozhodnutí) na</w:t>
      </w:r>
      <w:r w:rsidR="001D0A03" w:rsidRPr="00454AC3">
        <w:rPr>
          <w:rFonts w:ascii="Arial" w:hAnsi="Arial" w:cs="Arial"/>
          <w:color w:val="000000" w:themeColor="text1"/>
          <w:sz w:val="24"/>
          <w:szCs w:val="24"/>
        </w:rPr>
        <w:t xml:space="preserve"> očekávaný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880" w:rsidRPr="00454AC3">
        <w:rPr>
          <w:rFonts w:ascii="Arial" w:hAnsi="Arial" w:cs="Arial"/>
          <w:color w:val="000000" w:themeColor="text1"/>
          <w:sz w:val="24"/>
          <w:szCs w:val="24"/>
        </w:rPr>
        <w:t>závazný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požadavek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uvolnění 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části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rádiových kmitočtů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uvedeného pásma </w:t>
      </w:r>
      <w:r w:rsidR="00C26ED3" w:rsidRPr="00454AC3">
        <w:rPr>
          <w:rFonts w:ascii="Arial" w:hAnsi="Arial" w:cs="Arial"/>
          <w:color w:val="000000" w:themeColor="text1"/>
          <w:sz w:val="24"/>
          <w:szCs w:val="24"/>
        </w:rPr>
        <w:t xml:space="preserve">(dále jen „pásmo 700 MHz“)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navrhla řadu opatření.</w:t>
      </w:r>
    </w:p>
    <w:p w14:paraId="0FAC6CEE" w14:textId="684C550C" w:rsidR="002B76E0" w:rsidRPr="00454AC3" w:rsidRDefault="00ED2FBB" w:rsidP="017A9F3E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Základní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 předpoklady pro uvolnění pásma 700 MHz prostřednictvím přechodu na standard DVB-T2 byly stanoveny ve Strategii rozvoje zemského digitálního televizního vysílání (dále jen „Strategie “), schválené vládou </w:t>
      </w:r>
      <w:r w:rsidR="083CA5B9" w:rsidRPr="00454AC3">
        <w:rPr>
          <w:rFonts w:ascii="Arial" w:hAnsi="Arial" w:cs="Arial"/>
          <w:color w:val="000000" w:themeColor="text1"/>
          <w:sz w:val="24"/>
          <w:szCs w:val="24"/>
        </w:rPr>
        <w:t xml:space="preserve">usnesením ze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>dne 20.</w:t>
      </w:r>
      <w:r w:rsidR="000D64DF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>července 2016 č.</w:t>
      </w:r>
      <w:r w:rsidR="00191689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648. </w:t>
      </w:r>
    </w:p>
    <w:p w14:paraId="2C5C7D4D" w14:textId="10A05538" w:rsidR="001929C1" w:rsidRPr="00454AC3" w:rsidRDefault="001929C1" w:rsidP="001929C1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V návaznosti na schválení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Strategie byly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E21AB8C" w:rsidRPr="00454AC3">
        <w:rPr>
          <w:rFonts w:ascii="Arial" w:hAnsi="Arial" w:cs="Arial"/>
          <w:color w:val="000000" w:themeColor="text1"/>
          <w:sz w:val="24"/>
          <w:szCs w:val="24"/>
        </w:rPr>
        <w:t>ze strany Českého telekomunikačního úřadu (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ČTÚ</w:t>
      </w:r>
      <w:r w:rsidR="0F536B16" w:rsidRPr="00454A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ve spolupráci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experty Českého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metrologick</w:t>
      </w:r>
      <w:r w:rsidR="3E12F0CA" w:rsidRPr="00454AC3">
        <w:rPr>
          <w:rFonts w:ascii="Arial" w:hAnsi="Arial" w:cs="Arial"/>
          <w:color w:val="000000" w:themeColor="text1"/>
          <w:sz w:val="24"/>
          <w:szCs w:val="24"/>
        </w:rPr>
        <w:t>ého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13883F2C" w:rsidRPr="00454AC3">
        <w:rPr>
          <w:rFonts w:ascii="Arial" w:hAnsi="Arial" w:cs="Arial"/>
          <w:color w:val="000000" w:themeColor="text1"/>
          <w:sz w:val="24"/>
          <w:szCs w:val="24"/>
        </w:rPr>
        <w:t>u (ČMI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) do konce roku 2017 realizovány příslušné nutné mezinárodní koordinace rádiových kmitočtů</w:t>
      </w:r>
      <w:r w:rsidR="07CFB11F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1C083A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F5A82C4" w14:textId="77777777" w:rsidR="002B76E0" w:rsidRPr="00454AC3" w:rsidRDefault="002B76E0" w:rsidP="002B76E0">
      <w:pPr>
        <w:pStyle w:val="Odstavecseseznamem2"/>
        <w:keepNext/>
        <w:keepLines/>
        <w:spacing w:after="240" w:line="276" w:lineRule="auto"/>
        <w:ind w:left="0"/>
        <w:jc w:val="both"/>
        <w:rPr>
          <w:rFonts w:ascii="Arial" w:hAnsi="Arial" w:cs="Arial"/>
          <w:b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b/>
          <w:color w:val="000000" w:themeColor="text1"/>
          <w:spacing w:val="-1"/>
          <w:sz w:val="24"/>
          <w:szCs w:val="24"/>
          <w:lang w:eastAsia="cs-CZ"/>
        </w:rPr>
        <w:lastRenderedPageBreak/>
        <w:t>Aktualizace právního rámce</w:t>
      </w:r>
    </w:p>
    <w:p w14:paraId="158D27BD" w14:textId="08B63C27" w:rsidR="002B76E0" w:rsidRPr="00454AC3" w:rsidRDefault="002B76E0" w:rsidP="002B76E0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Celý proces byl realizován po </w:t>
      </w:r>
      <w:r w:rsidR="7BB17F0E" w:rsidRPr="00454AC3">
        <w:rPr>
          <w:rFonts w:ascii="Arial" w:hAnsi="Arial" w:cs="Arial"/>
          <w:color w:val="000000" w:themeColor="text1"/>
          <w:sz w:val="24"/>
          <w:szCs w:val="24"/>
        </w:rPr>
        <w:t>přijetí právního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rámce</w:t>
      </w:r>
      <w:r w:rsidR="000F3639" w:rsidRPr="00454AC3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0F3639" w:rsidRPr="00454AC3">
        <w:rPr>
          <w:rFonts w:ascii="Arial" w:hAnsi="Arial" w:cs="Arial"/>
          <w:color w:val="000000" w:themeColor="text1"/>
          <w:sz w:val="24"/>
          <w:szCs w:val="24"/>
        </w:rPr>
        <w:t>roce 2017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, kterým byl </w:t>
      </w:r>
      <w:r w:rsidR="3954AC21" w:rsidRPr="00454AC3">
        <w:rPr>
          <w:rFonts w:ascii="Arial" w:hAnsi="Arial" w:cs="Arial"/>
          <w:color w:val="000000" w:themeColor="text1"/>
          <w:sz w:val="24"/>
          <w:szCs w:val="24"/>
        </w:rPr>
        <w:t>zákon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č.</w:t>
      </w:r>
      <w:r w:rsidR="004B7D5E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252/2017 Sb., kterým se mění zákon č. 127/2005 Sb.,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elektronických komunikacích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o změně některých souvisejících zákonů (zákon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elektronických komunikacích), ve znění pozdějších předpisů,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zákon č. 483/1991 Sb.,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České televizi, ve znění pozdějších předpisů. Tato </w:t>
      </w:r>
      <w:r w:rsidR="06BAD137" w:rsidRPr="00454AC3">
        <w:rPr>
          <w:rFonts w:ascii="Arial" w:hAnsi="Arial" w:cs="Arial"/>
          <w:color w:val="000000" w:themeColor="text1"/>
          <w:sz w:val="24"/>
          <w:szCs w:val="24"/>
        </w:rPr>
        <w:t xml:space="preserve">tzv. </w:t>
      </w:r>
      <w:proofErr w:type="spellStart"/>
      <w:r w:rsidR="06BAD137" w:rsidRPr="00454AC3">
        <w:rPr>
          <w:rFonts w:ascii="Arial" w:hAnsi="Arial" w:cs="Arial"/>
          <w:color w:val="000000" w:themeColor="text1"/>
          <w:sz w:val="24"/>
          <w:szCs w:val="24"/>
        </w:rPr>
        <w:t>diginovela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nabyla účinnosti 2. září 2017. Klíčová část novelizace právního rámce tedy proběhla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roce 2017. Vládou ČR byly </w:t>
      </w:r>
      <w:r w:rsidR="00EE1F8D" w:rsidRPr="00454AC3">
        <w:rPr>
          <w:rFonts w:ascii="Arial" w:hAnsi="Arial" w:cs="Arial"/>
          <w:color w:val="000000" w:themeColor="text1"/>
          <w:sz w:val="24"/>
          <w:szCs w:val="24"/>
        </w:rPr>
        <w:t xml:space="preserve">také </w:t>
      </w:r>
      <w:r w:rsidR="4038C882" w:rsidRPr="00454AC3">
        <w:rPr>
          <w:rFonts w:ascii="Arial" w:hAnsi="Arial" w:cs="Arial"/>
          <w:color w:val="000000" w:themeColor="text1"/>
          <w:sz w:val="24"/>
          <w:szCs w:val="24"/>
        </w:rPr>
        <w:t xml:space="preserve">dne 30. ledna 2017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schváleny úpravy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dvou nařízení vlády – nařízení vlády č.</w:t>
      </w:r>
      <w:r w:rsidR="004B7D5E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153/2005 Sb.</w:t>
      </w:r>
      <w:r w:rsidR="268DBFF4" w:rsidRPr="00454AC3">
        <w:rPr>
          <w:rFonts w:ascii="Arial" w:hAnsi="Arial" w:cs="Arial"/>
          <w:color w:val="000000" w:themeColor="text1"/>
          <w:sz w:val="24"/>
          <w:szCs w:val="24"/>
        </w:rPr>
        <w:t>,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268DBFF4" w:rsidRPr="00454AC3">
        <w:rPr>
          <w:rFonts w:ascii="Arial" w:hAnsi="Arial" w:cs="Arial"/>
          <w:color w:val="000000" w:themeColor="text1"/>
          <w:sz w:val="24"/>
          <w:szCs w:val="24"/>
        </w:rPr>
        <w:t>stanovení způsobu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268DBFF4" w:rsidRPr="00454AC3">
        <w:rPr>
          <w:rFonts w:ascii="Arial" w:hAnsi="Arial" w:cs="Arial"/>
          <w:color w:val="000000" w:themeColor="text1"/>
          <w:sz w:val="24"/>
          <w:szCs w:val="24"/>
        </w:rPr>
        <w:t>výše tvorby prostředků radiokomunikačního účtu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268DBFF4" w:rsidRPr="00454AC3">
        <w:rPr>
          <w:rFonts w:ascii="Arial" w:hAnsi="Arial" w:cs="Arial"/>
          <w:color w:val="000000" w:themeColor="text1"/>
          <w:sz w:val="24"/>
          <w:szCs w:val="24"/>
        </w:rPr>
        <w:t>způsobu jejich čerpání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,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nařízení vlády č. 154/2005 Sb.</w:t>
      </w:r>
      <w:r w:rsidR="393D50FE" w:rsidRPr="00454AC3">
        <w:rPr>
          <w:rFonts w:ascii="Arial" w:hAnsi="Arial" w:cs="Arial"/>
          <w:color w:val="000000" w:themeColor="text1"/>
          <w:sz w:val="24"/>
          <w:szCs w:val="24"/>
        </w:rPr>
        <w:t>,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93D50FE" w:rsidRPr="00454AC3">
        <w:rPr>
          <w:rFonts w:ascii="Arial" w:hAnsi="Arial" w:cs="Arial"/>
          <w:color w:val="000000" w:themeColor="text1"/>
          <w:sz w:val="24"/>
          <w:szCs w:val="24"/>
        </w:rPr>
        <w:t>stanovení výše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93D50FE" w:rsidRPr="00454AC3">
        <w:rPr>
          <w:rFonts w:ascii="Arial" w:hAnsi="Arial" w:cs="Arial"/>
          <w:color w:val="000000" w:themeColor="text1"/>
          <w:sz w:val="24"/>
          <w:szCs w:val="24"/>
        </w:rPr>
        <w:t>způsobu výpočtu poplatků za využívání rádiových kmitočtů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93D50FE" w:rsidRPr="00454AC3">
        <w:rPr>
          <w:rFonts w:ascii="Arial" w:hAnsi="Arial" w:cs="Arial"/>
          <w:color w:val="000000" w:themeColor="text1"/>
          <w:sz w:val="24"/>
          <w:szCs w:val="24"/>
        </w:rPr>
        <w:t>čísel.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tab/>
      </w:r>
    </w:p>
    <w:p w14:paraId="633A4B49" w14:textId="7897AA11" w:rsidR="002B76E0" w:rsidRPr="00454AC3" w:rsidRDefault="002B76E0" w:rsidP="002B76E0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 srpnu 2018 bylo vládou ČR schváleno nařízení vlády č.</w:t>
      </w:r>
      <w:r w:rsidR="2FAEB2E8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199/2018 Sb.</w:t>
      </w:r>
      <w:r w:rsidR="65C5E431" w:rsidRPr="00454AC3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65C5E431" w:rsidRPr="00454AC3">
        <w:rPr>
          <w:rFonts w:ascii="Arial" w:hAnsi="Arial" w:cs="Arial"/>
          <w:color w:val="000000" w:themeColor="text1"/>
          <w:sz w:val="24"/>
          <w:szCs w:val="24"/>
        </w:rPr>
        <w:t>Technickém plánu přechodu zemského digitálního televizního vysílání ze standardu DVB-T na standard DVB-T2 (nařízení vlády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65C5E431" w:rsidRPr="00454AC3">
        <w:rPr>
          <w:rFonts w:ascii="Arial" w:hAnsi="Arial" w:cs="Arial"/>
          <w:color w:val="000000" w:themeColor="text1"/>
          <w:sz w:val="24"/>
          <w:szCs w:val="24"/>
        </w:rPr>
        <w:t>Technickém plánu přechodu na standard DVB-T2)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(dále jen „TPP“). TPP vymezil, mimo pravidel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oblasti správy rádiového spektra podle příslušného zmocnění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zákoně, konkrétní časové lhůty pro provozování přechodových sítí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DVB-T2, zapínání finálních sítí DVB-T2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vypínání stávajících celoplošných sítí DVB-T.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roce 2020 bylo nutno přijmout postupně dvě novely TPP vzhledem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D9D8194" w:rsidRPr="00454AC3">
        <w:rPr>
          <w:rFonts w:ascii="Arial" w:hAnsi="Arial" w:cs="Arial"/>
          <w:color w:val="000000" w:themeColor="text1"/>
          <w:sz w:val="24"/>
          <w:szCs w:val="24"/>
        </w:rPr>
        <w:t>vyhlášenému nouzovému stavu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D9D8194" w:rsidRPr="00454AC3">
        <w:rPr>
          <w:rFonts w:ascii="Arial" w:hAnsi="Arial" w:cs="Arial"/>
          <w:color w:val="000000" w:themeColor="text1"/>
          <w:sz w:val="24"/>
          <w:szCs w:val="24"/>
        </w:rPr>
        <w:t xml:space="preserve">vládních opatření </w:t>
      </w:r>
      <w:r w:rsidR="6C2E1CA9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6C2E1CA9" w:rsidRPr="00454AC3">
        <w:rPr>
          <w:rFonts w:ascii="Arial" w:hAnsi="Arial" w:cs="Arial"/>
          <w:color w:val="000000" w:themeColor="text1"/>
          <w:sz w:val="24"/>
          <w:szCs w:val="24"/>
        </w:rPr>
        <w:t>souvislosti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6C2E1CA9" w:rsidRPr="00454AC3">
        <w:rPr>
          <w:rFonts w:ascii="Arial" w:hAnsi="Arial" w:cs="Arial"/>
          <w:color w:val="000000" w:themeColor="text1"/>
          <w:sz w:val="24"/>
          <w:szCs w:val="24"/>
        </w:rPr>
        <w:t xml:space="preserve">pandemií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COVID-19.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březnu 2020 t</w:t>
      </w:r>
      <w:r w:rsidR="3423001E" w:rsidRPr="00454AC3">
        <w:rPr>
          <w:rFonts w:ascii="Arial" w:hAnsi="Arial" w:cs="Arial"/>
          <w:color w:val="000000" w:themeColor="text1"/>
          <w:sz w:val="24"/>
          <w:szCs w:val="24"/>
        </w:rPr>
        <w:t>ak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bylo </w:t>
      </w:r>
      <w:r w:rsidR="0B26A85A" w:rsidRPr="00454AC3">
        <w:rPr>
          <w:rFonts w:ascii="Arial" w:hAnsi="Arial" w:cs="Arial"/>
          <w:color w:val="000000" w:themeColor="text1"/>
          <w:sz w:val="24"/>
          <w:szCs w:val="24"/>
        </w:rPr>
        <w:t xml:space="preserve">schváleno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nařízení vlády č. 120/2020 Sb., které přerušilo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důvodu nouzového stavu realizaci přechodu na DVB-T2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pozastavilo tak veškeré dosud plánované kroky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zapínání finálních sítí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vypínání sítí DVB-T.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červnu 2020 pak bylo přijato nařízení vlády č. 268/2020 Sb., které restartovalo celý proces přechodu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termínem ukončení posunutým do 31.10.2020. </w:t>
      </w:r>
    </w:p>
    <w:bookmarkEnd w:id="1"/>
    <w:p w14:paraId="33FEE6CC" w14:textId="01A7AB29" w:rsidR="00D2680F" w:rsidRPr="00454AC3" w:rsidRDefault="00D2680F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ČR přistoupila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348D5" w:rsidRPr="00454AC3">
        <w:rPr>
          <w:rFonts w:ascii="Arial" w:hAnsi="Arial" w:cs="Arial"/>
          <w:color w:val="000000" w:themeColor="text1"/>
          <w:sz w:val="24"/>
          <w:szCs w:val="24"/>
        </w:rPr>
        <w:t xml:space="preserve">přípravě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uvolnění pásma 700 MHz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vědomím významné role bezplatného </w:t>
      </w:r>
      <w:r w:rsidR="00EE1F8D" w:rsidRPr="00454AC3">
        <w:rPr>
          <w:rFonts w:ascii="Arial" w:hAnsi="Arial" w:cs="Arial"/>
          <w:color w:val="000000" w:themeColor="text1"/>
          <w:sz w:val="24"/>
          <w:szCs w:val="24"/>
        </w:rPr>
        <w:t xml:space="preserve">příjmu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zemského televizního vysílání. Ve spolupráci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dalšími dotčenými orgány veřejné správy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příslušných subjektů, podílejících se na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provozování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této klíčové platformy šíření televizního vysílání</w:t>
      </w:r>
      <w:r w:rsidR="00CF1DDD" w:rsidRPr="00454AC3">
        <w:rPr>
          <w:rFonts w:ascii="Arial" w:hAnsi="Arial" w:cs="Arial"/>
          <w:color w:val="000000" w:themeColor="text1"/>
          <w:sz w:val="24"/>
          <w:szCs w:val="24"/>
        </w:rPr>
        <w:t xml:space="preserve"> (využívané 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 xml:space="preserve">při zahájení procesu přechodu na DVB-T2 </w:t>
      </w:r>
      <w:r w:rsidR="00CF1DDD" w:rsidRPr="00454AC3">
        <w:rPr>
          <w:rFonts w:ascii="Arial" w:hAnsi="Arial" w:cs="Arial"/>
          <w:color w:val="000000" w:themeColor="text1"/>
          <w:sz w:val="24"/>
          <w:szCs w:val="24"/>
        </w:rPr>
        <w:t xml:space="preserve">cca </w:t>
      </w:r>
      <w:r w:rsidR="0A4A0C88" w:rsidRPr="00454AC3">
        <w:rPr>
          <w:rFonts w:ascii="Arial" w:hAnsi="Arial" w:cs="Arial"/>
          <w:color w:val="000000" w:themeColor="text1"/>
          <w:sz w:val="24"/>
          <w:szCs w:val="24"/>
        </w:rPr>
        <w:t>60 %</w:t>
      </w:r>
      <w:r w:rsidR="00CF1DDD" w:rsidRPr="00454AC3">
        <w:rPr>
          <w:rFonts w:ascii="Arial" w:hAnsi="Arial" w:cs="Arial"/>
          <w:color w:val="000000" w:themeColor="text1"/>
          <w:sz w:val="24"/>
          <w:szCs w:val="24"/>
        </w:rPr>
        <w:t xml:space="preserve"> domácností)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, připravilo MPO prostřednictvím Koordinační expertní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skupiny cíle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postup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>opatření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, kter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>é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>sou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definován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>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ve vládou schválené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Strategii.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Postup 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 xml:space="preserve">uvolnění pásma 700 MHz prostřednictvím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přechodu 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 xml:space="preserve">na spektrálně efektivnější standard DVB-T2/HEVC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předpokládal výstavbu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provoz dočasných přechodových sítí DVB-T2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období 2017-2020 tak, aby </w:t>
      </w:r>
      <w:r w:rsidR="00CF1DDD" w:rsidRPr="00454AC3">
        <w:rPr>
          <w:rFonts w:ascii="Arial" w:hAnsi="Arial" w:cs="Arial"/>
          <w:color w:val="000000" w:themeColor="text1"/>
          <w:sz w:val="24"/>
          <w:szCs w:val="24"/>
        </w:rPr>
        <w:t xml:space="preserve">dotčené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české domácnosti měly dostatečný čas na výměnu 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všech svých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přijímacích zařízení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zároveň bylo </w:t>
      </w:r>
      <w:r w:rsidR="006D7DF4" w:rsidRPr="00454AC3">
        <w:rPr>
          <w:rFonts w:ascii="Arial" w:hAnsi="Arial" w:cs="Arial"/>
          <w:color w:val="000000" w:themeColor="text1"/>
          <w:sz w:val="24"/>
          <w:szCs w:val="24"/>
        </w:rPr>
        <w:t xml:space="preserve">bez přerušení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dostupné vysílání stávajících celoplošný</w:t>
      </w:r>
      <w:r w:rsidR="00D01E87" w:rsidRPr="00454AC3">
        <w:rPr>
          <w:rFonts w:ascii="Arial" w:hAnsi="Arial" w:cs="Arial"/>
          <w:color w:val="000000" w:themeColor="text1"/>
          <w:sz w:val="24"/>
          <w:szCs w:val="24"/>
        </w:rPr>
        <w:t>ch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televizních stanic během celého 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průběhu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přechodu </w:t>
      </w:r>
      <w:r w:rsidR="00D348D5" w:rsidRPr="00454AC3">
        <w:rPr>
          <w:rFonts w:ascii="Arial" w:hAnsi="Arial" w:cs="Arial"/>
          <w:color w:val="000000" w:themeColor="text1"/>
          <w:sz w:val="24"/>
          <w:szCs w:val="24"/>
        </w:rPr>
        <w:t xml:space="preserve">jak </w:t>
      </w:r>
      <w:r w:rsidR="4FADF1CD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4FADF1CD" w:rsidRPr="00454AC3">
        <w:rPr>
          <w:rFonts w:ascii="Arial" w:hAnsi="Arial" w:cs="Arial"/>
          <w:color w:val="000000" w:themeColor="text1"/>
          <w:sz w:val="24"/>
          <w:szCs w:val="24"/>
        </w:rPr>
        <w:t>DVB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-T </w:t>
      </w:r>
      <w:r w:rsidR="00D348D5" w:rsidRPr="00454AC3">
        <w:rPr>
          <w:rFonts w:ascii="Arial" w:hAnsi="Arial" w:cs="Arial"/>
          <w:color w:val="000000" w:themeColor="text1"/>
          <w:sz w:val="24"/>
          <w:szCs w:val="24"/>
        </w:rPr>
        <w:t>tak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348D5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DVB-T2. </w:t>
      </w:r>
    </w:p>
    <w:p w14:paraId="00969AA2" w14:textId="5DC42206" w:rsidR="00D2680F" w:rsidRPr="00454AC3" w:rsidRDefault="00D2680F" w:rsidP="00D2680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Údaje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prodeji televizorů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EA6B9B" w:rsidRPr="00454AC3">
        <w:rPr>
          <w:rFonts w:ascii="Arial" w:hAnsi="Arial" w:cs="Arial"/>
          <w:color w:val="000000" w:themeColor="text1"/>
          <w:sz w:val="24"/>
          <w:szCs w:val="24"/>
        </w:rPr>
        <w:t>set-top</w:t>
      </w:r>
      <w:r w:rsidR="000C546C" w:rsidRPr="00454AC3">
        <w:rPr>
          <w:rFonts w:ascii="Arial" w:hAnsi="Arial" w:cs="Arial"/>
          <w:color w:val="000000" w:themeColor="text1"/>
          <w:sz w:val="24"/>
          <w:szCs w:val="24"/>
        </w:rPr>
        <w:t>-</w:t>
      </w:r>
      <w:r w:rsidR="00EA6B9B" w:rsidRPr="00454AC3">
        <w:rPr>
          <w:rFonts w:ascii="Arial" w:hAnsi="Arial" w:cs="Arial"/>
          <w:color w:val="000000" w:themeColor="text1"/>
          <w:sz w:val="24"/>
          <w:szCs w:val="24"/>
        </w:rPr>
        <w:t>boxů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B9B" w:rsidRPr="00454AC3">
        <w:rPr>
          <w:rFonts w:ascii="Arial" w:hAnsi="Arial" w:cs="Arial"/>
          <w:color w:val="000000" w:themeColor="text1"/>
          <w:sz w:val="24"/>
          <w:szCs w:val="24"/>
        </w:rPr>
        <w:t>(</w:t>
      </w:r>
      <w:r w:rsidR="00FF3685" w:rsidRPr="00454AC3">
        <w:rPr>
          <w:rFonts w:ascii="Arial" w:hAnsi="Arial" w:cs="Arial"/>
          <w:color w:val="000000" w:themeColor="text1"/>
          <w:sz w:val="24"/>
          <w:szCs w:val="24"/>
        </w:rPr>
        <w:t>dále jen „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>STB</w:t>
      </w:r>
      <w:r w:rsidR="00FF3685" w:rsidRPr="00454AC3">
        <w:rPr>
          <w:rFonts w:ascii="Arial" w:hAnsi="Arial" w:cs="Arial"/>
          <w:color w:val="000000" w:themeColor="text1"/>
          <w:sz w:val="24"/>
          <w:szCs w:val="24"/>
        </w:rPr>
        <w:t>“</w:t>
      </w:r>
      <w:r w:rsidR="00EA6B9B" w:rsidRPr="00454A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, umožňujících příjem vysílání DVB-T2 ukazují, že vysílání přechodových sítí DVB-T2 podstatným způsobem urychlilo přirozenou obměnu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inovaci </w:t>
      </w:r>
      <w:r w:rsidR="006D7DF4" w:rsidRPr="00454AC3">
        <w:rPr>
          <w:rFonts w:ascii="Arial" w:hAnsi="Arial" w:cs="Arial"/>
          <w:color w:val="000000" w:themeColor="text1"/>
          <w:sz w:val="24"/>
          <w:szCs w:val="24"/>
        </w:rPr>
        <w:t xml:space="preserve">přijímačů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domácnostech. Tato skutečnost pozitivně ovlivnila úspěšnost přechodu na DVB-T2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významně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snížila vynucené náklady na straně domácností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>na straně státu ve srovnání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>jiným postupem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Jednalo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lastRenderedPageBreak/>
        <w:t>se tak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sociálně citlivé opatření, ze kterého </w:t>
      </w:r>
      <w:proofErr w:type="spellStart"/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>benefitovala</w:t>
      </w:r>
      <w:proofErr w:type="spellEnd"/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 velká část domácností</w:t>
      </w:r>
      <w:r w:rsidR="00EA6B9B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 jak je zřejmé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výsledků </w:t>
      </w:r>
      <w:r w:rsidR="00234CE3" w:rsidRPr="00454AC3">
        <w:rPr>
          <w:rFonts w:ascii="Arial" w:hAnsi="Arial" w:cs="Arial"/>
          <w:color w:val="000000" w:themeColor="text1"/>
          <w:sz w:val="24"/>
          <w:szCs w:val="24"/>
        </w:rPr>
        <w:t xml:space="preserve">systematicky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>prováděných reprezentativních šetření obyvatel</w:t>
      </w:r>
      <w:r w:rsidR="00EE1F8D" w:rsidRPr="00454AC3">
        <w:rPr>
          <w:rFonts w:ascii="Arial" w:hAnsi="Arial" w:cs="Arial"/>
          <w:color w:val="000000" w:themeColor="text1"/>
          <w:sz w:val="24"/>
          <w:szCs w:val="24"/>
        </w:rPr>
        <w:t xml:space="preserve"> (podrobněji viz Příloha č.1, část 3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EE1F8D" w:rsidRPr="00454AC3">
        <w:rPr>
          <w:rFonts w:ascii="Arial" w:hAnsi="Arial" w:cs="Arial"/>
          <w:color w:val="000000" w:themeColor="text1"/>
          <w:sz w:val="24"/>
          <w:szCs w:val="24"/>
        </w:rPr>
        <w:t>4</w:t>
      </w:r>
      <w:r w:rsidR="3D8292E5" w:rsidRPr="00454AC3">
        <w:rPr>
          <w:rFonts w:ascii="Arial" w:hAnsi="Arial" w:cs="Arial"/>
          <w:color w:val="000000" w:themeColor="text1"/>
          <w:sz w:val="24"/>
          <w:szCs w:val="24"/>
        </w:rPr>
        <w:t>).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Provozování souběžného vysílání přechodových sítí bylo kriticky podmíněno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nutností přejít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rámci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procesu uvolňování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masivně využívaného televizního rádiového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pásma 700 MHz 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na kmitočty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pásmu 500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 xml:space="preserve">600 MHz </w:t>
      </w:r>
      <w:r w:rsidR="0013333A" w:rsidRPr="00454AC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spektrálně efektivnější vysílací standard DVB-T2/HEVC.</w:t>
      </w:r>
    </w:p>
    <w:p w14:paraId="48CEA912" w14:textId="46318622" w:rsidR="00004E8B" w:rsidRPr="00454AC3" w:rsidRDefault="00004E8B" w:rsidP="6DFA6652">
      <w:pPr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Přechodové sítě a</w:t>
      </w:r>
      <w:r w:rsidR="000D3CC9"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simultánní vysílání</w:t>
      </w:r>
    </w:p>
    <w:p w14:paraId="7EA8D206" w14:textId="306DF5DF" w:rsidR="007A4C7D" w:rsidRPr="00454AC3" w:rsidRDefault="001E5F1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Klíčovým opatřením pro plynulé zajištění přechodu bez dramatických dopadů </w:t>
      </w:r>
      <w:r w:rsidR="002B388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na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dostupn</w:t>
      </w:r>
      <w:r w:rsidR="00DE45B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st televizního signálu všech provozovaných </w:t>
      </w:r>
      <w:r w:rsidR="0090695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celoplošných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TV stanic bylo využití přechodových sítí</w:t>
      </w:r>
      <w:r w:rsidR="00ED2FB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DVB-T2</w:t>
      </w:r>
      <w:r w:rsidR="007C153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</w:t>
      </w:r>
      <w:r w:rsidR="002B388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šířících souběžné vysílání všech programů </w:t>
      </w:r>
      <w:r w:rsidR="0039104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2B388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DVB-T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  <w:r w:rsidR="002B388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Tři p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řechodové, dočasně provozované sítě</w:t>
      </w:r>
      <w:r w:rsidR="009758E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byly budovány </w:t>
      </w:r>
      <w:r w:rsidR="00FF368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provozovateli (resp.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operátory</w:t>
      </w:r>
      <w:r w:rsidR="00FF368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)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sítí od začátku roku 2017. Postupně všechny přechodové vysílací sítě dosáhly celoplošného rozšíření</w:t>
      </w:r>
      <w:r w:rsidR="00ED2FB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pro naprostou většinu domácností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  <w:r w:rsidR="00995B5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Od 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začátku </w:t>
      </w:r>
      <w:r w:rsidR="00995B5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roku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2019 byl </w:t>
      </w:r>
      <w:r w:rsidR="00C3300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3300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souladu s</w:t>
      </w:r>
      <w:r w:rsidR="0039104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e schválenou 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Strategií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3300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principy přechodu 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již televizní signál </w:t>
      </w:r>
      <w:r w:rsidR="000E473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všech 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3</w:t>
      </w:r>
      <w:r w:rsidR="0033385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přechodových s</w:t>
      </w:r>
      <w:r w:rsidR="000E473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í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tí DVB-T2/HEVC dostupný </w:t>
      </w:r>
      <w:r w:rsidR="0039104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již 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pro více než 90</w:t>
      </w:r>
      <w:r w:rsidR="00B57B8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% obyvatel, dvě sítě </w:t>
      </w:r>
      <w:r w:rsidR="000E473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dosáhly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téměř 100% pokrytí obyvatel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televizním signálem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Cílem přechodových sítí </w:t>
      </w:r>
      <w:r w:rsidR="00995B5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byl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 stimulace</w:t>
      </w:r>
      <w:r w:rsidR="00FF368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urychlení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realizace sociálně akceptovatelné výměny televizních přijímačů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domácnostech tak, jako tomu bylo při úspěšném přechodu od analogového na digitální vysílání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FB15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období 2008-2012.</w:t>
      </w:r>
      <w:r w:rsidR="00E305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4851CF74" w14:textId="02313D9F" w:rsidR="007A4C7D" w:rsidRPr="00454AC3" w:rsidRDefault="00E3053D" w:rsidP="007A4C7D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Průměrná doba souběžného vysílání </w:t>
      </w:r>
      <w:r w:rsidR="00D01E87" w:rsidRPr="00454AC3">
        <w:rPr>
          <w:rFonts w:ascii="Arial" w:hAnsi="Arial" w:cs="Arial"/>
          <w:color w:val="000000" w:themeColor="text1"/>
          <w:sz w:val="24"/>
          <w:szCs w:val="24"/>
        </w:rPr>
        <w:t>byla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,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závislosti na konkrétním území</w:t>
      </w:r>
      <w:r w:rsidR="001A1C85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 xml:space="preserve"> resp. lokalitě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, kolem dvou let (22-28 měsíců)</w:t>
      </w:r>
      <w:r w:rsidR="00D01E87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vč. doby přerušení celého procesu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důvodů 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vyhlášení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nouzového stavu (březen-červen 2020)</w:t>
      </w:r>
      <w:r w:rsidR="00616888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621" w:rsidRPr="00454AC3">
        <w:rPr>
          <w:rFonts w:ascii="Arial" w:hAnsi="Arial" w:cs="Arial"/>
          <w:color w:val="000000" w:themeColor="text1"/>
          <w:sz w:val="24"/>
          <w:szCs w:val="24"/>
        </w:rPr>
        <w:t>pro eliminaci pandemie C</w:t>
      </w:r>
      <w:r w:rsidR="00AD2F68" w:rsidRPr="00454AC3">
        <w:rPr>
          <w:rFonts w:ascii="Arial" w:hAnsi="Arial" w:cs="Arial"/>
          <w:color w:val="000000" w:themeColor="text1"/>
          <w:sz w:val="24"/>
          <w:szCs w:val="24"/>
        </w:rPr>
        <w:t>OVID</w:t>
      </w:r>
      <w:r w:rsidR="00690F50" w:rsidRPr="00454AC3">
        <w:rPr>
          <w:rFonts w:ascii="Arial" w:hAnsi="Arial" w:cs="Arial"/>
          <w:color w:val="000000" w:themeColor="text1"/>
          <w:sz w:val="24"/>
          <w:szCs w:val="24"/>
        </w:rPr>
        <w:t>-19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Vysíláním prostřednictvím </w:t>
      </w:r>
      <w:r w:rsidR="291E0024" w:rsidRPr="00454AC3">
        <w:rPr>
          <w:rFonts w:ascii="Arial" w:hAnsi="Arial" w:cs="Arial"/>
          <w:color w:val="000000" w:themeColor="text1"/>
          <w:sz w:val="24"/>
          <w:szCs w:val="24"/>
        </w:rPr>
        <w:t>p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řechodových sítí byl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zároveň zajištěn</w:t>
      </w:r>
      <w:r w:rsidR="00AC20B2" w:rsidRPr="00454AC3">
        <w:rPr>
          <w:rFonts w:ascii="Arial" w:hAnsi="Arial" w:cs="Arial"/>
          <w:color w:val="000000" w:themeColor="text1"/>
          <w:sz w:val="24"/>
          <w:szCs w:val="24"/>
        </w:rPr>
        <w:t>o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nepřerušen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>é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televizní 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>vysílání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B5145" w:rsidRPr="00454AC3">
        <w:rPr>
          <w:rFonts w:ascii="Arial" w:hAnsi="Arial" w:cs="Arial"/>
          <w:color w:val="000000" w:themeColor="text1"/>
          <w:sz w:val="24"/>
          <w:szCs w:val="24"/>
        </w:rPr>
        <w:t xml:space="preserve">jeho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příjem pro domácnosti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době </w:t>
      </w:r>
      <w:r w:rsidR="001A1C85" w:rsidRPr="00454AC3">
        <w:rPr>
          <w:rFonts w:ascii="Arial" w:hAnsi="Arial" w:cs="Arial"/>
          <w:color w:val="000000" w:themeColor="text1"/>
          <w:sz w:val="24"/>
          <w:szCs w:val="24"/>
        </w:rPr>
        <w:t xml:space="preserve">procesu vypínání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sítí DVB-T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A1C85" w:rsidRPr="00454AC3">
        <w:rPr>
          <w:rFonts w:ascii="Arial" w:hAnsi="Arial" w:cs="Arial"/>
          <w:color w:val="000000" w:themeColor="text1"/>
          <w:sz w:val="24"/>
          <w:szCs w:val="24"/>
        </w:rPr>
        <w:t xml:space="preserve">postupného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zap</w:t>
      </w:r>
      <w:r w:rsidR="001A1C85" w:rsidRPr="00454AC3">
        <w:rPr>
          <w:rFonts w:ascii="Arial" w:hAnsi="Arial" w:cs="Arial"/>
          <w:color w:val="000000" w:themeColor="text1"/>
          <w:sz w:val="24"/>
          <w:szCs w:val="24"/>
        </w:rPr>
        <w:t>ínán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finálních sítí DVB-T2. Důležitost zajištění </w:t>
      </w:r>
      <w:r w:rsidR="00690F50" w:rsidRPr="00454AC3">
        <w:rPr>
          <w:rFonts w:ascii="Arial" w:hAnsi="Arial" w:cs="Arial"/>
          <w:color w:val="000000" w:themeColor="text1"/>
          <w:sz w:val="24"/>
          <w:szCs w:val="24"/>
        </w:rPr>
        <w:t xml:space="preserve">nepřerušeného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přístupu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bezplatnému televiznímu vysílání byla akcentována </w:t>
      </w:r>
      <w:r w:rsidR="001A1C85" w:rsidRPr="00454AC3">
        <w:rPr>
          <w:rFonts w:ascii="Arial" w:hAnsi="Arial" w:cs="Arial"/>
          <w:color w:val="000000" w:themeColor="text1"/>
          <w:sz w:val="24"/>
          <w:szCs w:val="24"/>
        </w:rPr>
        <w:t xml:space="preserve">rovněž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době vyhlášení nouzového stavu související</w:t>
      </w:r>
      <w:r w:rsidR="001A1C85" w:rsidRPr="00454AC3">
        <w:rPr>
          <w:rFonts w:ascii="Arial" w:hAnsi="Arial" w:cs="Arial"/>
          <w:color w:val="000000" w:themeColor="text1"/>
          <w:sz w:val="24"/>
          <w:szCs w:val="24"/>
        </w:rPr>
        <w:t>ho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pandemií COVID-19, kdy zemské televizní vysílání, jako součást kritické infrastruktury státu, zajistilo informovanost </w:t>
      </w:r>
      <w:r w:rsidR="00690F50" w:rsidRPr="00454AC3">
        <w:rPr>
          <w:rFonts w:ascii="Arial" w:hAnsi="Arial" w:cs="Arial"/>
          <w:color w:val="000000" w:themeColor="text1"/>
          <w:sz w:val="24"/>
          <w:szCs w:val="24"/>
        </w:rPr>
        <w:t xml:space="preserve">většiny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obyvatel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ČR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21B76" w:rsidRPr="00454AC3">
        <w:rPr>
          <w:rFonts w:ascii="Arial" w:hAnsi="Arial" w:cs="Arial"/>
          <w:color w:val="000000" w:themeColor="text1"/>
          <w:sz w:val="24"/>
          <w:szCs w:val="24"/>
        </w:rPr>
        <w:t xml:space="preserve">ke krokům ve správě spektra 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podrobněji  Příloha</w:t>
      </w:r>
      <w:r w:rsidR="3A482B26" w:rsidRPr="00454AC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, část 2)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C33C30A" w14:textId="40B5CDF3" w:rsidR="003A2530" w:rsidRPr="00454AC3" w:rsidRDefault="003A2530" w:rsidP="00004E8B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Certifikace přijímacích zařízení</w:t>
      </w:r>
    </w:p>
    <w:p w14:paraId="7D984334" w14:textId="5DD70595" w:rsidR="00004E8B" w:rsidRPr="00454AC3" w:rsidRDefault="00D2680F" w:rsidP="6DFA6652">
      <w:pPr>
        <w:pStyle w:val="Odstavecseseznamem2"/>
        <w:spacing w:after="240" w:line="276" w:lineRule="auto"/>
        <w:ind w:left="0"/>
        <w:jc w:val="both"/>
        <w:rPr>
          <w:color w:val="000000" w:themeColor="text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Významnou roli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procesu přechodu sehráli </w:t>
      </w:r>
      <w:r w:rsidR="00CF1DDD" w:rsidRPr="00454AC3">
        <w:rPr>
          <w:rFonts w:ascii="Arial" w:hAnsi="Arial" w:cs="Arial"/>
          <w:color w:val="000000" w:themeColor="text1"/>
          <w:sz w:val="24"/>
          <w:szCs w:val="24"/>
        </w:rPr>
        <w:t xml:space="preserve">operátoři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vysílacích sítí, kteří </w:t>
      </w:r>
      <w:r w:rsidR="00ED2FBB" w:rsidRPr="00454AC3">
        <w:rPr>
          <w:rFonts w:ascii="Arial" w:hAnsi="Arial" w:cs="Arial"/>
          <w:color w:val="000000" w:themeColor="text1"/>
          <w:sz w:val="24"/>
          <w:szCs w:val="24"/>
        </w:rPr>
        <w:t xml:space="preserve">za využití vlastních rozsáhlých investic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zajistili technickou realizaci postupu podle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Strategie,</w:t>
      </w:r>
      <w:r w:rsidR="00A5559D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389AC18F" w:rsidRPr="00454AC3">
        <w:rPr>
          <w:rFonts w:ascii="Arial" w:hAnsi="Arial" w:cs="Arial"/>
          <w:color w:val="000000" w:themeColor="text1"/>
          <w:sz w:val="24"/>
          <w:szCs w:val="24"/>
        </w:rPr>
        <w:t>diginovely</w:t>
      </w:r>
      <w:proofErr w:type="spellEnd"/>
      <w:r w:rsidR="00A5559D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T</w:t>
      </w:r>
      <w:r w:rsidR="4363985C" w:rsidRPr="00454AC3">
        <w:rPr>
          <w:rFonts w:ascii="Arial" w:hAnsi="Arial" w:cs="Arial"/>
          <w:color w:val="000000" w:themeColor="text1"/>
          <w:sz w:val="24"/>
          <w:szCs w:val="24"/>
        </w:rPr>
        <w:t>PP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.  T</w:t>
      </w:r>
      <w:r w:rsidR="008E09F1" w:rsidRPr="00454AC3">
        <w:rPr>
          <w:rFonts w:ascii="Arial" w:hAnsi="Arial" w:cs="Arial"/>
          <w:color w:val="000000" w:themeColor="text1"/>
          <w:sz w:val="24"/>
          <w:szCs w:val="24"/>
        </w:rPr>
        <w:t>PP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připravený </w:t>
      </w:r>
      <w:r w:rsidR="00FC48BE" w:rsidRPr="00454AC3">
        <w:rPr>
          <w:rFonts w:ascii="Arial" w:hAnsi="Arial" w:cs="Arial"/>
          <w:color w:val="000000" w:themeColor="text1"/>
          <w:sz w:val="24"/>
          <w:szCs w:val="24"/>
        </w:rPr>
        <w:t>MPO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těsné spolupráci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FC48BE" w:rsidRPr="00454AC3">
        <w:rPr>
          <w:rFonts w:ascii="Arial" w:hAnsi="Arial" w:cs="Arial"/>
          <w:color w:val="000000" w:themeColor="text1"/>
          <w:sz w:val="24"/>
          <w:szCs w:val="24"/>
        </w:rPr>
        <w:t>ČTÚ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Koordinační expertní skupinou MPO</w:t>
      </w:r>
      <w:r w:rsidR="00D01E87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zahrnoval </w:t>
      </w:r>
      <w:r w:rsidR="00D01E87" w:rsidRPr="00454AC3">
        <w:rPr>
          <w:rFonts w:ascii="Arial" w:hAnsi="Arial" w:cs="Arial"/>
          <w:color w:val="000000" w:themeColor="text1"/>
          <w:sz w:val="24"/>
          <w:szCs w:val="24"/>
        </w:rPr>
        <w:t xml:space="preserve">jak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sestavení přechodových sítí, tak také postup zahajování provozu nových finálních sítí DVB-T2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vypínání sítí DVB-T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jednotlivých oblastech republiky.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úspěšnosti celého procesu nepochybně přispěla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iniciativa </w:t>
      </w:r>
      <w:r w:rsidR="00CF1DDD" w:rsidRPr="00454AC3">
        <w:rPr>
          <w:rFonts w:ascii="Arial" w:hAnsi="Arial" w:cs="Arial"/>
          <w:color w:val="000000" w:themeColor="text1"/>
          <w:sz w:val="24"/>
          <w:szCs w:val="24"/>
        </w:rPr>
        <w:t xml:space="preserve">dotčených podnikatelských subjektů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(vč. </w:t>
      </w:r>
      <w:r w:rsidR="7C9640C0" w:rsidRPr="00454AC3">
        <w:rPr>
          <w:rFonts w:ascii="Arial" w:hAnsi="Arial" w:cs="Arial"/>
          <w:color w:val="000000" w:themeColor="text1"/>
          <w:sz w:val="24"/>
          <w:szCs w:val="24"/>
        </w:rPr>
        <w:t>výrobců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spotřební elektroniky), kter</w:t>
      </w:r>
      <w:r w:rsidR="00690F50" w:rsidRPr="00454AC3">
        <w:rPr>
          <w:rFonts w:ascii="Arial" w:hAnsi="Arial" w:cs="Arial"/>
          <w:color w:val="000000" w:themeColor="text1"/>
          <w:sz w:val="24"/>
          <w:szCs w:val="24"/>
        </w:rPr>
        <w:t>é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na své náklady ověřoval</w:t>
      </w:r>
      <w:r w:rsidR="0B4AE02B" w:rsidRPr="00454AC3">
        <w:rPr>
          <w:rFonts w:ascii="Arial" w:hAnsi="Arial" w:cs="Arial"/>
          <w:color w:val="000000" w:themeColor="text1"/>
          <w:sz w:val="24"/>
          <w:szCs w:val="24"/>
        </w:rPr>
        <w:t>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kompatibilitu přijímacích zařízení 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s</w:t>
      </w:r>
      <w:r w:rsidR="1DC8004A" w:rsidRPr="00454AC3">
        <w:rPr>
          <w:rFonts w:ascii="Arial" w:hAnsi="Arial" w:cs="Arial"/>
          <w:color w:val="000000" w:themeColor="text1"/>
          <w:sz w:val="24"/>
          <w:szCs w:val="24"/>
        </w:rPr>
        <w:t>e standardem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 DVB-T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2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podpořil</w:t>
      </w:r>
      <w:r w:rsidR="492A216F" w:rsidRPr="00454AC3">
        <w:rPr>
          <w:rFonts w:ascii="Arial" w:hAnsi="Arial" w:cs="Arial"/>
          <w:color w:val="000000" w:themeColor="text1"/>
          <w:sz w:val="24"/>
          <w:szCs w:val="24"/>
        </w:rPr>
        <w:t>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tak domácnosti při nákupu vhodných televizorů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set</w:t>
      </w:r>
      <w:r w:rsidR="000C546C" w:rsidRPr="00454AC3">
        <w:rPr>
          <w:rFonts w:ascii="Arial" w:hAnsi="Arial" w:cs="Arial"/>
          <w:color w:val="000000" w:themeColor="text1"/>
          <w:sz w:val="24"/>
          <w:szCs w:val="24"/>
        </w:rPr>
        <w:t>-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top boxů. 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České Radiokomunikace a.s. ve spolupráci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313EA9C3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výrobci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spotřební elektroniky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 MPO připravily 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zahájily proces certifikace televizních přijímačů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set-top-boxů již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září 2016 a</w:t>
      </w:r>
      <w:r w:rsidR="004B7D5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i</w:t>
      </w:r>
      <w:r w:rsidR="004B7D5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následujících letech 2017-2020 tento proces úspěšně pokračoval</w:t>
      </w:r>
      <w:r w:rsidR="07A9DA78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,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vč. prezentace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médiích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(podrobněji viz Příloha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č.</w:t>
      </w:r>
      <w:r w:rsidR="1C6257D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1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část 3)</w:t>
      </w:r>
      <w:r w:rsidR="00C21B7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21B7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školením servisních organizací</w:t>
      </w:r>
      <w:r w:rsidR="5502B474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, podnikajících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5502B474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sektoru/oblasti příjmu televizního vysílání </w:t>
      </w:r>
      <w:r w:rsidR="68E74B97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(především firmy zaměřené na </w:t>
      </w:r>
      <w:r w:rsidR="4D337D08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oblast </w:t>
      </w:r>
      <w:r w:rsidR="68E74B97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anté</w:t>
      </w:r>
      <w:r w:rsidR="21DFA368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nní</w:t>
      </w:r>
      <w:r w:rsidR="68E74B97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ch systé</w:t>
      </w:r>
      <w:r w:rsidR="696E3D1A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mů</w:t>
      </w:r>
      <w:r w:rsidR="66482F6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  <w:r w:rsidR="1C4D4A5B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,</w:t>
      </w:r>
      <w:r w:rsidR="00C21B7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operátory vysílacích sítí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</w:p>
    <w:p w14:paraId="7C59F21B" w14:textId="0E897950" w:rsidR="003A2530" w:rsidRPr="00454AC3" w:rsidRDefault="00004E8B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Certifikace spočívá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reálném testování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ověřování kompatibility přijímačů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doporučením (D-</w:t>
      </w:r>
      <w:proofErr w:type="spellStart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Book</w:t>
      </w:r>
      <w:proofErr w:type="spellEnd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CZ) ČTÚ „Minimální požadavky na přijímací zařízení pro poskytování služeb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sítích DVB-T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DVB-T2“. Certifikace se zúčastnili nejen všichni významní výrobci přijímačů (LG, Panasonic, Philips, Samsung, Sony), ale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menší výrobci. Certifikaci také podpořily velkoobchody (například </w:t>
      </w:r>
      <w:proofErr w:type="spellStart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HPTronic</w:t>
      </w:r>
      <w:proofErr w:type="spellEnd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, </w:t>
      </w:r>
      <w:proofErr w:type="spellStart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Datart</w:t>
      </w:r>
      <w:proofErr w:type="spellEnd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), ale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maloobchody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klíčové e-shopy (například Alza, Electroworld, Euronics) spotřební elektroniky. </w:t>
      </w:r>
      <w:r w:rsidR="003A253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Celkem bylo od roku 2016 certifikováno 3 337 televizorů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3A253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71 set-top-boxů.</w:t>
      </w:r>
      <w:r w:rsidR="00BC3FD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Nejlevnější DVB-T2/HEVC přijímače, které prošly certifikací, začínají na cenách okolo 3 000 Kč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BC3FD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DPH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BC3FD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set-top-boxy okolo 650 Kč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BC3FD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DPH.</w:t>
      </w:r>
    </w:p>
    <w:p w14:paraId="073D2D14" w14:textId="0BDF171E" w:rsidR="00004E8B" w:rsidRPr="00454AC3" w:rsidRDefault="00004E8B" w:rsidP="00004E8B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 nabídce televizních přijímačů se </w:t>
      </w:r>
      <w:r w:rsidR="2B5C4581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 roku 2019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jiné, než přijímače umožňující příjem televizního vysílání ve standardu DVB-T2/HEVC, prakticky 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nevyskytují.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K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závěru roku 2019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 průběhu roku 2020 bylo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této databázi více </w:t>
      </w:r>
      <w:r w:rsidR="61616075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než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3000 modelů televizních přijímačů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set-top-boxů. </w:t>
      </w:r>
    </w:p>
    <w:p w14:paraId="78595BB6" w14:textId="77777777" w:rsidR="00BC3FD1" w:rsidRPr="00454AC3" w:rsidRDefault="00BC3FD1" w:rsidP="00BC3FD1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b/>
          <w:color w:val="000000" w:themeColor="text1"/>
          <w:spacing w:val="-1"/>
          <w:sz w:val="24"/>
          <w:szCs w:val="24"/>
          <w:lang w:eastAsia="cs-CZ"/>
        </w:rPr>
        <w:t>Prodeje přijímacích zařízení DVB-T2</w:t>
      </w:r>
    </w:p>
    <w:p w14:paraId="2F30794D" w14:textId="3D800BA3" w:rsidR="00444295" w:rsidRPr="00454AC3" w:rsidRDefault="004F40F7" w:rsidP="003A2530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Po skončení přechodu z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analogového na digitální vysílání v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roce 2012 začal roční objem prodeje přijímacích zařízení</w:t>
      </w:r>
      <w:r w:rsidR="00234CE3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, zejména televizorů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 postupně klesat. V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roce 2015 poklesl na úroveň necelých 700 tis. kusů ročně.</w:t>
      </w:r>
      <w:r w:rsidRPr="00454AC3">
        <w:rPr>
          <w:rFonts w:ascii="Arial" w:hAnsi="Arial" w:cs="Arial"/>
          <w:b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7AE6C615" w14:textId="0D5647FA" w:rsidR="004F40F7" w:rsidRPr="00454AC3" w:rsidRDefault="003A253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Televizory, umožňující příjem vysílaní ve standardu DVB-T2/HEVC, se začaly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ČR prodávat již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2015</w:t>
      </w:r>
      <w:r w:rsidR="009014B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– následující tabulka prezentuje vybrané údaje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014B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vývoji prodejů certifikovaných tel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e</w:t>
      </w:r>
      <w:r w:rsidR="009014B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vizorů 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(od roku 2015) </w:t>
      </w:r>
      <w:r w:rsidR="009014B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014B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set-top boxů (od roku 2018). </w:t>
      </w:r>
    </w:p>
    <w:p w14:paraId="22D8DCEE" w14:textId="10CD8C45" w:rsidR="009014B2" w:rsidRPr="00454AC3" w:rsidRDefault="009014B2" w:rsidP="009014B2">
      <w:pPr>
        <w:rPr>
          <w:rFonts w:ascii="Arial" w:hAnsi="Arial" w:cs="Arial"/>
          <w:b/>
          <w:bCs/>
        </w:rPr>
      </w:pPr>
      <w:r w:rsidRPr="00454AC3">
        <w:rPr>
          <w:rFonts w:ascii="Arial" w:hAnsi="Arial" w:cs="Arial"/>
          <w:b/>
          <w:bCs/>
        </w:rPr>
        <w:t>Tabulka vývoje prodejů TV v</w:t>
      </w:r>
      <w:r w:rsidR="000D3CC9" w:rsidRPr="00454AC3">
        <w:rPr>
          <w:rFonts w:ascii="Arial" w:hAnsi="Arial" w:cs="Arial"/>
          <w:b/>
          <w:bCs/>
        </w:rPr>
        <w:t> </w:t>
      </w:r>
      <w:r w:rsidRPr="00454AC3">
        <w:rPr>
          <w:rFonts w:ascii="Arial" w:hAnsi="Arial" w:cs="Arial"/>
          <w:b/>
          <w:bCs/>
        </w:rPr>
        <w:t>období 2015-2020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"/>
        <w:gridCol w:w="4157"/>
        <w:gridCol w:w="755"/>
        <w:gridCol w:w="755"/>
        <w:gridCol w:w="755"/>
        <w:gridCol w:w="778"/>
        <w:gridCol w:w="766"/>
        <w:gridCol w:w="767"/>
      </w:tblGrid>
      <w:tr w:rsidR="009014B2" w:rsidRPr="00454AC3" w14:paraId="791EE67B" w14:textId="77777777" w:rsidTr="2EE187F6">
        <w:tc>
          <w:tcPr>
            <w:tcW w:w="329" w:type="dxa"/>
          </w:tcPr>
          <w:p w14:paraId="74A06D86" w14:textId="77777777" w:rsidR="009014B2" w:rsidRPr="00454AC3" w:rsidRDefault="009014B2" w:rsidP="00647966"/>
        </w:tc>
        <w:tc>
          <w:tcPr>
            <w:tcW w:w="4157" w:type="dxa"/>
          </w:tcPr>
          <w:p w14:paraId="4996B06E" w14:textId="77777777" w:rsidR="009014B2" w:rsidRPr="00454AC3" w:rsidRDefault="009014B2" w:rsidP="00647966"/>
        </w:tc>
        <w:tc>
          <w:tcPr>
            <w:tcW w:w="755" w:type="dxa"/>
          </w:tcPr>
          <w:p w14:paraId="34FB4474" w14:textId="7777777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2015</w:t>
            </w:r>
          </w:p>
        </w:tc>
        <w:tc>
          <w:tcPr>
            <w:tcW w:w="755" w:type="dxa"/>
          </w:tcPr>
          <w:p w14:paraId="267DDD79" w14:textId="7777777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2016</w:t>
            </w:r>
          </w:p>
        </w:tc>
        <w:tc>
          <w:tcPr>
            <w:tcW w:w="755" w:type="dxa"/>
          </w:tcPr>
          <w:p w14:paraId="45A641CD" w14:textId="7777777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2017</w:t>
            </w:r>
          </w:p>
        </w:tc>
        <w:tc>
          <w:tcPr>
            <w:tcW w:w="778" w:type="dxa"/>
          </w:tcPr>
          <w:p w14:paraId="16371CF5" w14:textId="7777777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2018</w:t>
            </w:r>
          </w:p>
        </w:tc>
        <w:tc>
          <w:tcPr>
            <w:tcW w:w="766" w:type="dxa"/>
          </w:tcPr>
          <w:p w14:paraId="5B5EA16B" w14:textId="7777777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2019</w:t>
            </w:r>
          </w:p>
        </w:tc>
        <w:tc>
          <w:tcPr>
            <w:tcW w:w="767" w:type="dxa"/>
          </w:tcPr>
          <w:p w14:paraId="58636B79" w14:textId="7777777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2020</w:t>
            </w:r>
          </w:p>
        </w:tc>
      </w:tr>
      <w:tr w:rsidR="009014B2" w:rsidRPr="00454AC3" w14:paraId="7FEC3E4B" w14:textId="77777777" w:rsidTr="2EE187F6">
        <w:tc>
          <w:tcPr>
            <w:tcW w:w="329" w:type="dxa"/>
          </w:tcPr>
          <w:p w14:paraId="317D019C" w14:textId="77777777" w:rsidR="009014B2" w:rsidRPr="00454AC3" w:rsidRDefault="009014B2" w:rsidP="00647966">
            <w:r w:rsidRPr="00454AC3">
              <w:t>1</w:t>
            </w:r>
          </w:p>
        </w:tc>
        <w:tc>
          <w:tcPr>
            <w:tcW w:w="4157" w:type="dxa"/>
          </w:tcPr>
          <w:p w14:paraId="23B37A24" w14:textId="77777777" w:rsidR="009014B2" w:rsidRPr="00454AC3" w:rsidRDefault="009014B2" w:rsidP="00647966">
            <w:r w:rsidRPr="00454AC3">
              <w:t>Meziroční změna prodejů (dle ks prodaných TV)</w:t>
            </w:r>
          </w:p>
        </w:tc>
        <w:tc>
          <w:tcPr>
            <w:tcW w:w="755" w:type="dxa"/>
          </w:tcPr>
          <w:p w14:paraId="376180F5" w14:textId="01A7846B" w:rsidR="009014B2" w:rsidRPr="00454AC3" w:rsidRDefault="009014B2" w:rsidP="00647966">
            <w:r w:rsidRPr="00454AC3">
              <w:t>-2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55" w:type="dxa"/>
          </w:tcPr>
          <w:p w14:paraId="329D1497" w14:textId="2BE27C0D" w:rsidR="009014B2" w:rsidRPr="00454AC3" w:rsidRDefault="009014B2" w:rsidP="00647966">
            <w:r w:rsidRPr="00454AC3">
              <w:t>-6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55" w:type="dxa"/>
          </w:tcPr>
          <w:p w14:paraId="4F2BB9AC" w14:textId="38A1DEE0" w:rsidR="009014B2" w:rsidRPr="00454AC3" w:rsidRDefault="009014B2" w:rsidP="00647966">
            <w:r w:rsidRPr="00454AC3">
              <w:t>-3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78" w:type="dxa"/>
          </w:tcPr>
          <w:p w14:paraId="5B7EED00" w14:textId="1FB2F97E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+17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66" w:type="dxa"/>
          </w:tcPr>
          <w:p w14:paraId="2F56F9F5" w14:textId="6F7FA396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+29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67" w:type="dxa"/>
          </w:tcPr>
          <w:p w14:paraId="36C0077E" w14:textId="778B955E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+3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</w:tr>
      <w:tr w:rsidR="009014B2" w:rsidRPr="00454AC3" w14:paraId="20AB0B91" w14:textId="77777777" w:rsidTr="2EE187F6">
        <w:tc>
          <w:tcPr>
            <w:tcW w:w="329" w:type="dxa"/>
          </w:tcPr>
          <w:p w14:paraId="251EB510" w14:textId="77777777" w:rsidR="009014B2" w:rsidRPr="00454AC3" w:rsidRDefault="009014B2" w:rsidP="00647966">
            <w:r w:rsidRPr="00454AC3">
              <w:t>2</w:t>
            </w:r>
          </w:p>
        </w:tc>
        <w:tc>
          <w:tcPr>
            <w:tcW w:w="4157" w:type="dxa"/>
          </w:tcPr>
          <w:p w14:paraId="2614FD5B" w14:textId="77777777" w:rsidR="009014B2" w:rsidRPr="00454AC3" w:rsidRDefault="009014B2" w:rsidP="00647966">
            <w:r w:rsidRPr="00454AC3">
              <w:t>Podíl prodeje certifikovaných TV (DVB-T2/HEVC) na celkovém prodeji</w:t>
            </w:r>
          </w:p>
        </w:tc>
        <w:tc>
          <w:tcPr>
            <w:tcW w:w="755" w:type="dxa"/>
          </w:tcPr>
          <w:p w14:paraId="0E485E09" w14:textId="128FBA2A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15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55" w:type="dxa"/>
          </w:tcPr>
          <w:p w14:paraId="094C27CF" w14:textId="2ABDC9F4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50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55" w:type="dxa"/>
          </w:tcPr>
          <w:p w14:paraId="499FEDF1" w14:textId="34EFFF62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84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78" w:type="dxa"/>
          </w:tcPr>
          <w:p w14:paraId="177803CE" w14:textId="301A23A7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96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66" w:type="dxa"/>
          </w:tcPr>
          <w:p w14:paraId="7236B3B9" w14:textId="0EB39F0A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99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  <w:tc>
          <w:tcPr>
            <w:tcW w:w="767" w:type="dxa"/>
          </w:tcPr>
          <w:p w14:paraId="3799C1C2" w14:textId="40EE248B" w:rsidR="009014B2" w:rsidRPr="00454AC3" w:rsidRDefault="009014B2" w:rsidP="00647966">
            <w:pPr>
              <w:rPr>
                <w:b/>
                <w:bCs/>
              </w:rPr>
            </w:pPr>
            <w:r w:rsidRPr="00454AC3">
              <w:rPr>
                <w:b/>
                <w:bCs/>
              </w:rPr>
              <w:t>92</w:t>
            </w:r>
            <w:r w:rsidR="00647966" w:rsidRPr="00454AC3">
              <w:rPr>
                <w:b/>
                <w:bCs/>
              </w:rPr>
              <w:t xml:space="preserve"> </w:t>
            </w:r>
            <w:r w:rsidRPr="00454AC3">
              <w:rPr>
                <w:b/>
                <w:bCs/>
              </w:rPr>
              <w:t>%</w:t>
            </w:r>
          </w:p>
        </w:tc>
      </w:tr>
      <w:tr w:rsidR="009014B2" w:rsidRPr="00454AC3" w14:paraId="55C7C6DB" w14:textId="77777777" w:rsidTr="2EE187F6">
        <w:tc>
          <w:tcPr>
            <w:tcW w:w="329" w:type="dxa"/>
          </w:tcPr>
          <w:p w14:paraId="5CE77637" w14:textId="77777777" w:rsidR="009014B2" w:rsidRPr="00454AC3" w:rsidRDefault="009014B2" w:rsidP="00647966">
            <w:r w:rsidRPr="00454AC3">
              <w:t>3</w:t>
            </w:r>
          </w:p>
        </w:tc>
        <w:tc>
          <w:tcPr>
            <w:tcW w:w="4157" w:type="dxa"/>
          </w:tcPr>
          <w:p w14:paraId="36AF1331" w14:textId="452B239D" w:rsidR="009014B2" w:rsidRPr="00454AC3" w:rsidRDefault="009014B2" w:rsidP="00647966">
            <w:r w:rsidRPr="00454AC3">
              <w:t>Odhad podílu certifikovaných TV nebo STB na počtu všech TV v</w:t>
            </w:r>
            <w:r w:rsidR="000D3CC9" w:rsidRPr="00454AC3">
              <w:t> </w:t>
            </w:r>
            <w:r w:rsidRPr="00454AC3">
              <w:t xml:space="preserve">domácnosti </w:t>
            </w:r>
          </w:p>
        </w:tc>
        <w:tc>
          <w:tcPr>
            <w:tcW w:w="755" w:type="dxa"/>
          </w:tcPr>
          <w:p w14:paraId="75801843" w14:textId="2EE5A711" w:rsidR="009014B2" w:rsidRPr="00454AC3" w:rsidRDefault="009014B2" w:rsidP="00647966">
            <w:r w:rsidRPr="00454AC3">
              <w:t>2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55" w:type="dxa"/>
          </w:tcPr>
          <w:p w14:paraId="4E2FBDE5" w14:textId="4DF95734" w:rsidR="009014B2" w:rsidRPr="00454AC3" w:rsidRDefault="009014B2" w:rsidP="00647966">
            <w:r w:rsidRPr="00454AC3">
              <w:t>7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55" w:type="dxa"/>
          </w:tcPr>
          <w:p w14:paraId="1894E844" w14:textId="76251B6E" w:rsidR="009014B2" w:rsidRPr="00454AC3" w:rsidRDefault="009014B2" w:rsidP="00647966">
            <w:r w:rsidRPr="00454AC3">
              <w:t>16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78" w:type="dxa"/>
          </w:tcPr>
          <w:p w14:paraId="239F25AA" w14:textId="75D67F14" w:rsidR="009014B2" w:rsidRPr="00454AC3" w:rsidRDefault="009014B2" w:rsidP="00647966">
            <w:r w:rsidRPr="00454AC3">
              <w:t>30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66" w:type="dxa"/>
          </w:tcPr>
          <w:p w14:paraId="2B749DA3" w14:textId="1BE90BB1" w:rsidR="009014B2" w:rsidRPr="00454AC3" w:rsidRDefault="009014B2" w:rsidP="00647966">
            <w:r w:rsidRPr="00454AC3">
              <w:t>56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67" w:type="dxa"/>
          </w:tcPr>
          <w:p w14:paraId="33D03681" w14:textId="0AFCC9D5" w:rsidR="009014B2" w:rsidRPr="00454AC3" w:rsidRDefault="009014B2" w:rsidP="00647966">
            <w:r w:rsidRPr="00454AC3">
              <w:t>88</w:t>
            </w:r>
            <w:r w:rsidR="00647966" w:rsidRPr="00454AC3">
              <w:t xml:space="preserve"> </w:t>
            </w:r>
            <w:r w:rsidRPr="00454AC3">
              <w:t>%</w:t>
            </w:r>
          </w:p>
        </w:tc>
      </w:tr>
      <w:tr w:rsidR="00444295" w:rsidRPr="00454AC3" w14:paraId="517E9CEE" w14:textId="77777777" w:rsidTr="2EE187F6">
        <w:tc>
          <w:tcPr>
            <w:tcW w:w="329" w:type="dxa"/>
          </w:tcPr>
          <w:p w14:paraId="2B4B3B85" w14:textId="01573267" w:rsidR="00444295" w:rsidRPr="00454AC3" w:rsidRDefault="00444295" w:rsidP="00647966">
            <w:r w:rsidRPr="00454AC3">
              <w:t>4</w:t>
            </w:r>
          </w:p>
        </w:tc>
        <w:tc>
          <w:tcPr>
            <w:tcW w:w="4157" w:type="dxa"/>
          </w:tcPr>
          <w:p w14:paraId="00371691" w14:textId="3A52934C" w:rsidR="00444295" w:rsidRPr="00454AC3" w:rsidRDefault="00EE070D" w:rsidP="00647966">
            <w:r w:rsidRPr="00454AC3">
              <w:t xml:space="preserve">Odhad podílu domácností – koncesionářů </w:t>
            </w:r>
            <w:r w:rsidR="4F61CFCF" w:rsidRPr="00454AC3">
              <w:t>ČT – vybavených</w:t>
            </w:r>
            <w:r w:rsidRPr="00454AC3">
              <w:t xml:space="preserve"> TV nebo STB pro příjem DVB-T2/HEVC</w:t>
            </w:r>
          </w:p>
        </w:tc>
        <w:tc>
          <w:tcPr>
            <w:tcW w:w="755" w:type="dxa"/>
          </w:tcPr>
          <w:p w14:paraId="5C696375" w14:textId="3B46F2EF" w:rsidR="00444295" w:rsidRPr="00454AC3" w:rsidRDefault="00EE070D" w:rsidP="00647966">
            <w:r w:rsidRPr="00454AC3">
              <w:t>3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55" w:type="dxa"/>
          </w:tcPr>
          <w:p w14:paraId="521974D8" w14:textId="71933D41" w:rsidR="00444295" w:rsidRPr="00454AC3" w:rsidRDefault="00EE070D" w:rsidP="00647966">
            <w:r w:rsidRPr="00454AC3">
              <w:t>13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55" w:type="dxa"/>
          </w:tcPr>
          <w:p w14:paraId="35A45591" w14:textId="089A3A15" w:rsidR="00444295" w:rsidRPr="00454AC3" w:rsidRDefault="00EE070D" w:rsidP="00647966">
            <w:r w:rsidRPr="00454AC3">
              <w:t>28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78" w:type="dxa"/>
          </w:tcPr>
          <w:p w14:paraId="7C736002" w14:textId="40D6120F" w:rsidR="00444295" w:rsidRPr="00454AC3" w:rsidRDefault="00EE070D" w:rsidP="00647966">
            <w:r w:rsidRPr="00454AC3">
              <w:t>49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66" w:type="dxa"/>
          </w:tcPr>
          <w:p w14:paraId="71371FBD" w14:textId="56723C99" w:rsidR="00444295" w:rsidRPr="00454AC3" w:rsidRDefault="00EE070D" w:rsidP="00647966">
            <w:r w:rsidRPr="00454AC3">
              <w:t>77</w:t>
            </w:r>
            <w:r w:rsidR="00647966" w:rsidRPr="00454AC3">
              <w:t xml:space="preserve"> </w:t>
            </w:r>
            <w:r w:rsidRPr="00454AC3">
              <w:t>%</w:t>
            </w:r>
          </w:p>
        </w:tc>
        <w:tc>
          <w:tcPr>
            <w:tcW w:w="767" w:type="dxa"/>
          </w:tcPr>
          <w:p w14:paraId="6AC98EF7" w14:textId="1ED7A1FC" w:rsidR="00444295" w:rsidRPr="00454AC3" w:rsidRDefault="00EE070D" w:rsidP="00647966">
            <w:r w:rsidRPr="00454AC3">
              <w:t>100</w:t>
            </w:r>
            <w:r w:rsidR="00647966" w:rsidRPr="00454AC3">
              <w:t xml:space="preserve"> </w:t>
            </w:r>
            <w:r w:rsidRPr="00454AC3">
              <w:t>%</w:t>
            </w:r>
          </w:p>
        </w:tc>
      </w:tr>
    </w:tbl>
    <w:p w14:paraId="4DE6DA65" w14:textId="18D46A4A" w:rsidR="009014B2" w:rsidRPr="00454AC3" w:rsidRDefault="009014B2" w:rsidP="009014B2">
      <w:r w:rsidRPr="00454AC3">
        <w:t>P</w:t>
      </w:r>
      <w:r w:rsidR="1D5E4924" w:rsidRPr="00454AC3">
        <w:t>o</w:t>
      </w:r>
      <w:r w:rsidRPr="00454AC3">
        <w:t>zn:</w:t>
      </w:r>
    </w:p>
    <w:p w14:paraId="2C5526D0" w14:textId="23B96E45" w:rsidR="009014B2" w:rsidRPr="00454AC3" w:rsidRDefault="009014B2" w:rsidP="009014B2">
      <w:pPr>
        <w:pStyle w:val="Odstavecseseznamem"/>
        <w:numPr>
          <w:ilvl w:val="0"/>
          <w:numId w:val="16"/>
        </w:numPr>
      </w:pPr>
      <w:r w:rsidRPr="00454AC3">
        <w:t>Údaje v</w:t>
      </w:r>
      <w:r w:rsidR="000D3CC9" w:rsidRPr="00454AC3">
        <w:t> </w:t>
      </w:r>
      <w:r w:rsidRPr="00454AC3">
        <w:t>ř.</w:t>
      </w:r>
      <w:r w:rsidR="20247568" w:rsidRPr="00454AC3">
        <w:t xml:space="preserve"> </w:t>
      </w:r>
      <w:r w:rsidRPr="00454AC3">
        <w:t>1,</w:t>
      </w:r>
      <w:r w:rsidR="458923C3" w:rsidRPr="00454AC3">
        <w:t xml:space="preserve"> </w:t>
      </w:r>
      <w:r w:rsidRPr="00454AC3">
        <w:t>2 jsou dle statistik prodejů TV (zdroj GF)</w:t>
      </w:r>
    </w:p>
    <w:p w14:paraId="59BED666" w14:textId="1D958ABE" w:rsidR="009014B2" w:rsidRPr="00454AC3" w:rsidRDefault="009014B2" w:rsidP="009014B2">
      <w:pPr>
        <w:pStyle w:val="Odstavecseseznamem"/>
        <w:numPr>
          <w:ilvl w:val="0"/>
          <w:numId w:val="16"/>
        </w:numPr>
      </w:pPr>
      <w:r w:rsidRPr="00454AC3">
        <w:t>Odhad</w:t>
      </w:r>
      <w:r w:rsidR="00444295" w:rsidRPr="00454AC3">
        <w:t>y</w:t>
      </w:r>
      <w:r w:rsidRPr="00454AC3">
        <w:t xml:space="preserve"> v</w:t>
      </w:r>
      <w:r w:rsidR="000D3CC9" w:rsidRPr="00454AC3">
        <w:t> </w:t>
      </w:r>
      <w:r w:rsidRPr="00454AC3">
        <w:t>ř.</w:t>
      </w:r>
      <w:r w:rsidR="36C9EC44" w:rsidRPr="00454AC3">
        <w:t xml:space="preserve"> </w:t>
      </w:r>
      <w:r w:rsidRPr="00454AC3">
        <w:t>3</w:t>
      </w:r>
      <w:r w:rsidR="00444295" w:rsidRPr="00454AC3">
        <w:t>,</w:t>
      </w:r>
      <w:r w:rsidR="46A5FA34" w:rsidRPr="00454AC3">
        <w:t xml:space="preserve"> </w:t>
      </w:r>
      <w:r w:rsidR="00444295" w:rsidRPr="00454AC3">
        <w:t>4</w:t>
      </w:r>
      <w:r w:rsidRPr="00454AC3">
        <w:t xml:space="preserve"> je proveden na základě statistiky prodejů TV a</w:t>
      </w:r>
      <w:r w:rsidR="000D3CC9" w:rsidRPr="00454AC3">
        <w:t> </w:t>
      </w:r>
      <w:r w:rsidRPr="00454AC3">
        <w:t>STB a</w:t>
      </w:r>
      <w:r w:rsidR="000D3CC9" w:rsidRPr="00454AC3">
        <w:t> </w:t>
      </w:r>
      <w:r w:rsidRPr="00454AC3">
        <w:t>údajů šetření ČSÚ o</w:t>
      </w:r>
      <w:r w:rsidR="000D3CC9" w:rsidRPr="00454AC3">
        <w:t> </w:t>
      </w:r>
      <w:r w:rsidRPr="00454AC3">
        <w:t>počtu TV v</w:t>
      </w:r>
      <w:r w:rsidR="000D3CC9" w:rsidRPr="00454AC3">
        <w:t> </w:t>
      </w:r>
      <w:r w:rsidRPr="00454AC3">
        <w:t>domácnostech</w:t>
      </w:r>
      <w:r w:rsidR="00EE070D" w:rsidRPr="00454AC3">
        <w:t xml:space="preserve"> (resp. údaje ČT o</w:t>
      </w:r>
      <w:r w:rsidR="000D3CC9" w:rsidRPr="00454AC3">
        <w:t> </w:t>
      </w:r>
      <w:r w:rsidR="00EE070D" w:rsidRPr="00454AC3">
        <w:t>počtu koncesionářských domácností).</w:t>
      </w:r>
    </w:p>
    <w:p w14:paraId="27234723" w14:textId="56031F9C" w:rsidR="003A2530" w:rsidRPr="00454AC3" w:rsidRDefault="003A253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 xml:space="preserve">Přes tento celkový pokles </w:t>
      </w:r>
      <w:r w:rsidR="00234CE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pokračující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8481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 letech 2015-2017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však podíl certifikovaných televizorů DVB-T2/HEVC na prodejích vzrostl </w:t>
      </w:r>
      <w:r w:rsidR="00486DD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již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86DD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roce 2016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na téměř 50 %. Prodej DVB-T2/HEVC TV se tak oproti předchozímu roku zvýšil 3x. Tento nárůst podílu certifikovaných televizorů na prodejích byl však zjevně spojen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tím, že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2016 byl zahájen proces certifikace přijímacích zařízení na příjem DVB-T2/HEVC podle D-</w:t>
      </w:r>
      <w:proofErr w:type="spellStart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Booku</w:t>
      </w:r>
      <w:proofErr w:type="spellEnd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CZ. </w:t>
      </w:r>
    </w:p>
    <w:p w14:paraId="0F6CD82B" w14:textId="7F2C5305" w:rsidR="003A2530" w:rsidRPr="00454AC3" w:rsidRDefault="003A2530" w:rsidP="2EE187F6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 zahájení výstavby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provozu přechodových sítí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2017 na omezeném území (jedna síť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cca </w:t>
      </w:r>
      <w:proofErr w:type="gramStart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60%</w:t>
      </w:r>
      <w:proofErr w:type="gramEnd"/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pokrytím) dosáhl prodej televizorů nejnižšího ročního objemu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prodaných kusech od roku 2012, ale na druhé </w:t>
      </w:r>
      <w:r w:rsidR="6E2E8D3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straně významně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vzrostl podíl certifikovaných televizorů na celkových prodejích již na téměř 85 %. Výsledkem prodeje certifikovaných televizorů tak byla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odhadovaná vybavenost domácností televizory DVB-T2/HEVC, která dosáhla úrovně cca 28 %. </w:t>
      </w:r>
    </w:p>
    <w:p w14:paraId="5DADA3EA" w14:textId="65CB304D" w:rsidR="003A2530" w:rsidRPr="00454AC3" w:rsidRDefault="003A2530" w:rsidP="2EE187F6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 roce 2018 bylo podstatně rozšířeno pokrytí obyvatel všech tří přechodových sítí na celoplošnou 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úroveň.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To se významně promítlo do poměrně značného meziročního spontánního nárůstu prodeje televizorů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cca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1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7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%. Navíc se dramaticky rozšířil prodej STB pro příjem DVB-T</w:t>
      </w:r>
      <w:r w:rsidR="454FFE43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2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/HEVC. To je podstatná změna chování domácností ve vztahu k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obměně televizorů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domácnostech.  Výsledkem byla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relativně vysoká vybavenost domácností certifikovanými zařízeními pro příjem vysílání ve standardu DVB-T2/HEVC – pro koncesionářské domácnost</w:t>
      </w:r>
      <w:r w:rsidR="07F8827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i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úrovni téměř 50 %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69762DFC" w14:textId="1CE185DF" w:rsidR="003A2530" w:rsidRPr="00454AC3" w:rsidRDefault="003A2530" w:rsidP="003A2530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S uvedeným podstatným růstem prodejů certifikovaných TV nepochybně souvisí i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prokazatelný vliv simultánního vysílání ČT v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novém standardu s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využitím formátu HD </w:t>
      </w:r>
      <w:proofErr w:type="gramStart"/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1080p</w:t>
      </w:r>
      <w:proofErr w:type="gramEnd"/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 všech programů ČT, což transparentně demonstrovalo přidanou hodnotu vysílání DVB-T2 pro diváky. </w:t>
      </w:r>
    </w:p>
    <w:p w14:paraId="75CEFE8D" w14:textId="4CB4F4B0" w:rsidR="003A2530" w:rsidRPr="00454AC3" w:rsidRDefault="003A253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Uvedené skutečnosti nepochybně indikují silný motivační vliv plnohodnotného souběžného vysílání DVB-T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DVB-T2 na urychlení obměny přijímacích zařízení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domácnostech.  Podíl certifikovaných televizorů na celkovém prodeji TV se zvýšil na více než 95 %. Zároveň domácnosti začaly významně nakupovat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odpovídající set-top-boxy, certifikované na příjem vysílání DVB-T2/HEVC (prodej cca 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200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tis. kusů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2018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). Podle statistických údajů získalo již do roku 2018 možnost příjmu vysílání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novém standardu více jak 55 % domácností. Lze odůvodněně předpokládat, že šlo zejména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domácnosti již dříve využívající platformu zemského digitálního vysílání. </w:t>
      </w:r>
    </w:p>
    <w:p w14:paraId="2108578B" w14:textId="2A2BE08D" w:rsidR="003A2530" w:rsidRPr="00454AC3" w:rsidRDefault="003A2530" w:rsidP="2EE187F6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 dokončení výstavby přechodových sítí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roce 2019 dosáhly prakticky všechny tři přechodové sítě celoplošného 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pokrytí.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Několikaměsíční fungování celoplošného simultánního zemského televizního vysílání všech třech přechodových sítí se opět velmi významně promítlo do trvalého růstu prodeje nových televizorů.</w:t>
      </w:r>
    </w:p>
    <w:p w14:paraId="58132DC3" w14:textId="2BE6F213" w:rsidR="003A2530" w:rsidRPr="00454AC3" w:rsidRDefault="003A253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Podle statistických údajů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prodeji certifikovaných televizorů je možno odvodit, že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2019 mělo možnost přijímat vysílání DVB-T2/HEVC již nejméně 75 % domácností. 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vezme-li se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úvahu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prodej certifikovaných set-top-boxů, jde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vybavenost možností příjmu DVB-T2/HEVC pro již více jak 82 % domácností.</w:t>
      </w:r>
    </w:p>
    <w:p w14:paraId="72CF6981" w14:textId="0D452E7A" w:rsidR="003A2530" w:rsidRPr="00454AC3" w:rsidRDefault="003A253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>Vzhledem ke skutečnosti, že se díky simultánnímu vysílání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předchozím období podařilo stimulovat vybavenost domácností certifikovanými přijímacími zařízeními, bylo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závěru roku 2019 možno zahájit bezproblémové vypínání sítí DVB-T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příslušné přechodové </w:t>
      </w:r>
      <w:r w:rsidR="6CDA1B1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sítě –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prvním regionu (Praha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střední Čechy)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pokračovat ve vypínání sítí DVB-T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4429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 roce 2020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</w:p>
    <w:p w14:paraId="5F1399C4" w14:textId="5FD4C325" w:rsidR="003A2530" w:rsidRPr="00454AC3" w:rsidRDefault="003A253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Je zřejmé, že díky dlouhodobé certifikaci přijímacích zařízení byly na trhu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celém průběhu přechodu nabízené televizory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požadovaném standardu DVB-T2/HEVC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domácnosti tak mohly být příslušně vybaveny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vzhledem k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poměrně nízkým cenám základních certifikovaných zařízení, aniž by hrozil nákup jakékoliv nekompatibilního přijímače. Podle statistických údajů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prodeje televizních přijímačů za období 2016-2020 bylo televizorem, umožňujícím příjem televizního vysílání ve standardu DVB-T2/HEVC, vybaveno nejméně 98 % domácností. </w:t>
      </w:r>
    </w:p>
    <w:p w14:paraId="7F11C49E" w14:textId="283356C6" w:rsidR="003A2530" w:rsidRPr="00454AC3" w:rsidRDefault="610B87EC" w:rsidP="6DFA6652">
      <w:pPr>
        <w:pStyle w:val="Odstavecseseznamem2"/>
        <w:spacing w:after="24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U</w:t>
      </w:r>
      <w:r w:rsidR="00A5559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platnění postupu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5559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využitím souběžného vysílání prostřednictvím přechodových sítí mělo významný motivační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5559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stimulační efekt na zajištění vysoké penetrace kompatibilních DVB-T2 přijímačů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5559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domácnostech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5559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přípravu společných televizních antén souvisejících se změnami použitých rádiových kmitočtů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(Viz </w:t>
      </w:r>
      <w:r w:rsidR="002450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podrobněji P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říloha </w:t>
      </w:r>
      <w:r w:rsidR="00424E5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č.1, 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část 2. 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-</w:t>
      </w:r>
      <w:r w:rsidR="3161648A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4.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).</w:t>
      </w:r>
    </w:p>
    <w:p w14:paraId="006CE601" w14:textId="17B8F49A" w:rsidR="00D2680F" w:rsidRPr="00454AC3" w:rsidRDefault="00D2680F" w:rsidP="00D2680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Obdobně</w:t>
      </w:r>
      <w:r w:rsidR="007C1535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jako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případě přechodu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analogového na digitální televizní vysílání</w:t>
      </w:r>
      <w:r w:rsidR="007C1535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sehrál </w:t>
      </w:r>
      <w:r w:rsidR="00E960A6" w:rsidRPr="00454AC3">
        <w:rPr>
          <w:rFonts w:ascii="Arial" w:hAnsi="Arial" w:cs="Arial"/>
          <w:color w:val="000000" w:themeColor="text1"/>
          <w:sz w:val="24"/>
          <w:szCs w:val="24"/>
        </w:rPr>
        <w:t xml:space="preserve">významnou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roli aktivní přístup Č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 xml:space="preserve">eské </w:t>
      </w:r>
      <w:r w:rsidR="787C7B82" w:rsidRPr="00454AC3">
        <w:rPr>
          <w:rFonts w:ascii="Arial" w:hAnsi="Arial" w:cs="Arial"/>
          <w:color w:val="000000" w:themeColor="text1"/>
          <w:sz w:val="24"/>
          <w:szCs w:val="24"/>
        </w:rPr>
        <w:t>t</w:t>
      </w:r>
      <w:r w:rsidR="002B3884" w:rsidRPr="00454AC3">
        <w:rPr>
          <w:rFonts w:ascii="Arial" w:hAnsi="Arial" w:cs="Arial"/>
          <w:color w:val="000000" w:themeColor="text1"/>
          <w:sz w:val="24"/>
          <w:szCs w:val="24"/>
        </w:rPr>
        <w:t>elevize (dále jen „ČT“)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C1535" w:rsidRPr="00454AC3">
        <w:rPr>
          <w:rFonts w:ascii="Arial" w:hAnsi="Arial" w:cs="Arial"/>
          <w:color w:val="000000" w:themeColor="text1"/>
          <w:sz w:val="24"/>
          <w:szCs w:val="24"/>
        </w:rPr>
        <w:t xml:space="preserve">která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zahájil</w:t>
      </w:r>
      <w:r w:rsidR="007C1535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jako prv</w:t>
      </w:r>
      <w:r w:rsidR="000C546C" w:rsidRPr="00454AC3">
        <w:rPr>
          <w:rFonts w:ascii="Arial" w:hAnsi="Arial" w:cs="Arial"/>
          <w:color w:val="000000" w:themeColor="text1"/>
          <w:sz w:val="24"/>
          <w:szCs w:val="24"/>
        </w:rPr>
        <w:t>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provozovatel televizního vysílání pravidelné televizní vysílání ve vysokém rozlišení (Full HD) nejprve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přechodové </w:t>
      </w:r>
      <w:r w:rsidR="00D01E87" w:rsidRPr="00454AC3">
        <w:rPr>
          <w:rFonts w:ascii="Arial" w:hAnsi="Arial" w:cs="Arial"/>
          <w:color w:val="000000" w:themeColor="text1"/>
          <w:sz w:val="24"/>
          <w:szCs w:val="24"/>
        </w:rPr>
        <w:t xml:space="preserve">síti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posléze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ve finální vysílací síti</w:t>
      </w:r>
      <w:r w:rsidR="001D0A03" w:rsidRPr="00454AC3">
        <w:rPr>
          <w:rFonts w:ascii="Arial" w:hAnsi="Arial" w:cs="Arial"/>
          <w:color w:val="000000" w:themeColor="text1"/>
          <w:sz w:val="24"/>
          <w:szCs w:val="24"/>
        </w:rPr>
        <w:t xml:space="preserve"> DVB-T2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. Součástí aktivního přístupu ČT byla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rozsáhlá informační podpora přechodu na DVB-T2. Mimo ČT se na informační podpoře celého procesu podíleli operátoři </w:t>
      </w:r>
      <w:r w:rsidR="00690F50" w:rsidRPr="00454AC3">
        <w:rPr>
          <w:rFonts w:ascii="Arial" w:hAnsi="Arial" w:cs="Arial"/>
          <w:color w:val="000000" w:themeColor="text1"/>
          <w:sz w:val="24"/>
          <w:szCs w:val="24"/>
        </w:rPr>
        <w:t>vysílacích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sítí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některé významné subjekty trhu spotřební elektroniky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>částečně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>provozovatelé celoplošného vysílání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422319D" w14:textId="566AE60D" w:rsidR="3A3E3A98" w:rsidRPr="00454AC3" w:rsidRDefault="3A3E3A98" w:rsidP="6DFA6652">
      <w:pPr>
        <w:pStyle w:val="Odstavecseseznamem2"/>
        <w:spacing w:after="240" w:line="276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Průběh p</w:t>
      </w:r>
      <w:r w:rsidR="6E2767B7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roces</w:t>
      </w:r>
      <w:r w:rsidR="7D99BBD4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6E2767B7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přechodu na standard DVB-T2</w:t>
      </w:r>
    </w:p>
    <w:p w14:paraId="0F16FBFD" w14:textId="5A4220E8" w:rsidR="00D2587A" w:rsidRPr="00454AC3" w:rsidRDefault="00DE45B6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Vypínání stávajících sítí DVB-T bylo zahájeno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listopadu 2019, kdy byly vypnuty dva vysílače 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 xml:space="preserve">velkého výkonu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Praze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středních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Čechách.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587A" w:rsidRPr="00454AC3">
        <w:rPr>
          <w:rFonts w:ascii="Arial" w:hAnsi="Arial" w:cs="Arial"/>
          <w:color w:val="000000" w:themeColor="text1"/>
          <w:sz w:val="24"/>
          <w:szCs w:val="24"/>
        </w:rPr>
        <w:t xml:space="preserve">Uvolňování </w:t>
      </w:r>
      <w:r w:rsidR="00CB6B69" w:rsidRPr="00454AC3">
        <w:rPr>
          <w:rFonts w:ascii="Arial" w:hAnsi="Arial" w:cs="Arial"/>
          <w:color w:val="000000" w:themeColor="text1"/>
          <w:sz w:val="24"/>
          <w:szCs w:val="24"/>
        </w:rPr>
        <w:t>pásma 700 MHz</w:t>
      </w:r>
      <w:r w:rsidR="00D2587A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2587A" w:rsidRPr="00454AC3">
        <w:rPr>
          <w:rFonts w:ascii="Arial" w:hAnsi="Arial" w:cs="Arial"/>
          <w:color w:val="000000" w:themeColor="text1"/>
          <w:sz w:val="24"/>
          <w:szCs w:val="24"/>
        </w:rPr>
        <w:t xml:space="preserve">přepínání stávajícího televizního vysílání ze standardu DVB-T na </w:t>
      </w:r>
      <w:r w:rsidR="0030232A" w:rsidRPr="00454AC3">
        <w:rPr>
          <w:rFonts w:ascii="Arial" w:hAnsi="Arial" w:cs="Arial"/>
          <w:color w:val="000000" w:themeColor="text1"/>
          <w:sz w:val="24"/>
          <w:szCs w:val="24"/>
        </w:rPr>
        <w:t xml:space="preserve">standard </w:t>
      </w:r>
      <w:r w:rsidR="00D2587A" w:rsidRPr="00454AC3">
        <w:rPr>
          <w:rFonts w:ascii="Arial" w:hAnsi="Arial" w:cs="Arial"/>
          <w:color w:val="000000" w:themeColor="text1"/>
          <w:sz w:val="24"/>
          <w:szCs w:val="24"/>
        </w:rPr>
        <w:t xml:space="preserve">DVB-T2 </w:t>
      </w:r>
      <w:r w:rsidR="00255C13" w:rsidRPr="00454AC3">
        <w:rPr>
          <w:rFonts w:ascii="Arial" w:hAnsi="Arial" w:cs="Arial"/>
          <w:color w:val="000000" w:themeColor="text1"/>
          <w:sz w:val="24"/>
          <w:szCs w:val="24"/>
        </w:rPr>
        <w:t xml:space="preserve">probíhalo </w:t>
      </w:r>
      <w:r w:rsidR="00697FA7" w:rsidRPr="00454AC3">
        <w:rPr>
          <w:rFonts w:ascii="Arial" w:hAnsi="Arial" w:cs="Arial"/>
          <w:color w:val="000000" w:themeColor="text1"/>
          <w:sz w:val="24"/>
          <w:szCs w:val="24"/>
        </w:rPr>
        <w:t xml:space="preserve">podle </w:t>
      </w:r>
      <w:r w:rsidR="0033695E" w:rsidRPr="00454AC3">
        <w:rPr>
          <w:rFonts w:ascii="Arial" w:hAnsi="Arial" w:cs="Arial"/>
          <w:color w:val="000000" w:themeColor="text1"/>
          <w:sz w:val="24"/>
          <w:szCs w:val="24"/>
        </w:rPr>
        <w:t>TPP.</w:t>
      </w:r>
    </w:p>
    <w:p w14:paraId="7BB643C5" w14:textId="5BAF45F6" w:rsidR="00576625" w:rsidRPr="00454AC3" w:rsidRDefault="00DE45B6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Vypínání sítí DVB-T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</w:t>
      </w:r>
      <w:r w:rsidR="00576625" w:rsidRPr="00454AC3">
        <w:rPr>
          <w:rFonts w:ascii="Arial" w:hAnsi="Arial" w:cs="Arial"/>
          <w:color w:val="000000" w:themeColor="text1"/>
          <w:sz w:val="24"/>
          <w:szCs w:val="24"/>
        </w:rPr>
        <w:t xml:space="preserve">řepínání sítí na finální standard vysílání </w:t>
      </w:r>
      <w:r w:rsidR="0002789E" w:rsidRPr="00454AC3">
        <w:rPr>
          <w:rFonts w:ascii="Arial" w:hAnsi="Arial" w:cs="Arial"/>
          <w:color w:val="000000" w:themeColor="text1"/>
          <w:sz w:val="24"/>
          <w:szCs w:val="24"/>
        </w:rPr>
        <w:t>bylo</w:t>
      </w:r>
      <w:r w:rsidR="00576625" w:rsidRPr="00454AC3">
        <w:rPr>
          <w:rFonts w:ascii="Arial" w:hAnsi="Arial" w:cs="Arial"/>
          <w:color w:val="000000" w:themeColor="text1"/>
          <w:sz w:val="24"/>
          <w:szCs w:val="24"/>
        </w:rPr>
        <w:t xml:space="preserve"> doprovázeno příslušnou informační kampaní</w:t>
      </w:r>
      <w:r w:rsidR="002031FA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625" w:rsidRPr="00454AC3">
        <w:rPr>
          <w:rFonts w:ascii="Arial" w:hAnsi="Arial" w:cs="Arial"/>
          <w:color w:val="000000" w:themeColor="text1"/>
          <w:sz w:val="24"/>
          <w:szCs w:val="24"/>
        </w:rPr>
        <w:t>konkretizovanou jak podle jednotlivých dotčených území</w:t>
      </w:r>
      <w:r w:rsidR="00D05833" w:rsidRPr="00454AC3">
        <w:rPr>
          <w:rFonts w:ascii="Arial" w:hAnsi="Arial" w:cs="Arial"/>
          <w:color w:val="000000" w:themeColor="text1"/>
          <w:sz w:val="24"/>
          <w:szCs w:val="24"/>
        </w:rPr>
        <w:t xml:space="preserve"> (mimo celoplošných informací)</w:t>
      </w:r>
      <w:r w:rsidR="00576625" w:rsidRPr="00454AC3">
        <w:rPr>
          <w:rFonts w:ascii="Arial" w:hAnsi="Arial" w:cs="Arial"/>
          <w:color w:val="000000" w:themeColor="text1"/>
          <w:sz w:val="24"/>
          <w:szCs w:val="24"/>
        </w:rPr>
        <w:t>, tak podle příslušných termínů</w:t>
      </w:r>
      <w:r w:rsidR="00D05833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4737" w:rsidRPr="00454AC3">
        <w:rPr>
          <w:rFonts w:ascii="Arial" w:hAnsi="Arial" w:cs="Arial"/>
          <w:color w:val="000000" w:themeColor="text1"/>
          <w:sz w:val="24"/>
          <w:szCs w:val="24"/>
        </w:rPr>
        <w:t xml:space="preserve">vypínání vysílání 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>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 xml:space="preserve">jednotlivých </w:t>
      </w:r>
      <w:r w:rsidR="000E4737" w:rsidRPr="00454AC3">
        <w:rPr>
          <w:rFonts w:ascii="Arial" w:hAnsi="Arial" w:cs="Arial"/>
          <w:color w:val="000000" w:themeColor="text1"/>
          <w:sz w:val="24"/>
          <w:szCs w:val="24"/>
        </w:rPr>
        <w:t xml:space="preserve">DVB-T </w:t>
      </w:r>
      <w:r w:rsidR="003877A4" w:rsidRPr="00454AC3">
        <w:rPr>
          <w:rFonts w:ascii="Arial" w:hAnsi="Arial" w:cs="Arial"/>
          <w:color w:val="000000" w:themeColor="text1"/>
          <w:sz w:val="24"/>
          <w:szCs w:val="24"/>
        </w:rPr>
        <w:t xml:space="preserve">vysílačů </w:t>
      </w:r>
      <w:r w:rsidR="000E4737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0E4737" w:rsidRPr="00454AC3">
        <w:rPr>
          <w:rFonts w:ascii="Arial" w:hAnsi="Arial" w:cs="Arial"/>
          <w:color w:val="000000" w:themeColor="text1"/>
          <w:sz w:val="24"/>
          <w:szCs w:val="24"/>
        </w:rPr>
        <w:t>přelaďování</w:t>
      </w:r>
      <w:r w:rsidR="00D05833" w:rsidRPr="00454AC3">
        <w:rPr>
          <w:rFonts w:ascii="Arial" w:hAnsi="Arial" w:cs="Arial"/>
          <w:color w:val="000000" w:themeColor="text1"/>
          <w:sz w:val="24"/>
          <w:szCs w:val="24"/>
        </w:rPr>
        <w:t xml:space="preserve"> sítí DVB-T2 </w:t>
      </w:r>
      <w:r w:rsidR="000E4737" w:rsidRPr="00454AC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 xml:space="preserve">finální </w:t>
      </w:r>
      <w:r w:rsidR="000E4737" w:rsidRPr="00454AC3">
        <w:rPr>
          <w:rFonts w:ascii="Arial" w:hAnsi="Arial" w:cs="Arial"/>
          <w:color w:val="000000" w:themeColor="text1"/>
          <w:sz w:val="24"/>
          <w:szCs w:val="24"/>
        </w:rPr>
        <w:t>kmitočty mimo pásmo 700 MHz</w:t>
      </w:r>
      <w:r w:rsidR="00576625"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C0DE95C" w14:textId="3E299BE8" w:rsidR="00A66165" w:rsidRPr="00454AC3" w:rsidRDefault="00A66165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 prv</w:t>
      </w:r>
      <w:r w:rsidR="000C546C" w:rsidRPr="00454AC3">
        <w:rPr>
          <w:rFonts w:ascii="Arial" w:hAnsi="Arial" w:cs="Arial"/>
          <w:color w:val="000000" w:themeColor="text1"/>
          <w:sz w:val="24"/>
          <w:szCs w:val="24"/>
        </w:rPr>
        <w:t>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polovině roku 2020 bylo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 xml:space="preserve">dále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postupně zahajováno vysílání ve 4 finálních sítích DVB-T2/HEVC, které po vypnutí zemského televizního vysílání ve standardu DVB-T </w:t>
      </w:r>
      <w:r w:rsidR="00124860" w:rsidRPr="00454AC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plně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nahra</w:t>
      </w:r>
      <w:r w:rsidR="007A4C7D" w:rsidRPr="00454AC3">
        <w:rPr>
          <w:rFonts w:ascii="Arial" w:hAnsi="Arial" w:cs="Arial"/>
          <w:color w:val="000000" w:themeColor="text1"/>
          <w:sz w:val="24"/>
          <w:szCs w:val="24"/>
        </w:rPr>
        <w:t>dily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053D" w:rsidRPr="00454AC3">
        <w:rPr>
          <w:rFonts w:ascii="Arial" w:hAnsi="Arial" w:cs="Arial"/>
          <w:color w:val="000000" w:themeColor="text1"/>
          <w:sz w:val="24"/>
          <w:szCs w:val="24"/>
        </w:rPr>
        <w:t xml:space="preserve">dosavadní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systém vysílání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celoplošných vysílacích sítích modernějším standardem DVB-T2/HEVC.</w:t>
      </w:r>
    </w:p>
    <w:p w14:paraId="16CF5F44" w14:textId="307F62ED" w:rsidR="00362229" w:rsidRPr="00454AC3" w:rsidRDefault="00DE45B6" w:rsidP="000E36E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Původní harmonogram předpokládal, že </w:t>
      </w:r>
      <w:r w:rsidR="00F4299E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1. čtvrtletí 2020 bude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rámci stávajících vysílacích sítí DVB-T postupně realizováno vypínání 50 vysílačů velkého výkonu. TPP specifikoval (ve všech verzích) postupné přepínání vysílacích sítí podle jednotlivých oblastí. Zbývajících 49 vysílačů velkého výkonu </w:t>
      </w:r>
      <w:r w:rsidR="00C80B31" w:rsidRPr="00454AC3">
        <w:rPr>
          <w:rFonts w:ascii="Arial" w:hAnsi="Arial" w:cs="Arial"/>
          <w:color w:val="000000" w:themeColor="text1"/>
          <w:sz w:val="24"/>
          <w:szCs w:val="24"/>
        </w:rPr>
        <w:t>mělo být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vypnuto ve 2. čtvrtletí 2020. </w:t>
      </w:r>
      <w:r w:rsidR="002A76C7" w:rsidRPr="00454AC3">
        <w:rPr>
          <w:rFonts w:ascii="Arial" w:hAnsi="Arial" w:cs="Arial"/>
          <w:color w:val="000000" w:themeColor="text1"/>
          <w:sz w:val="24"/>
          <w:szCs w:val="24"/>
        </w:rPr>
        <w:t xml:space="preserve">Proces realizace přechodu byl tedy původně naplánován 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>souladu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C1535" w:rsidRPr="00454AC3">
        <w:rPr>
          <w:rFonts w:ascii="Arial" w:hAnsi="Arial" w:cs="Arial"/>
          <w:color w:val="000000" w:themeColor="text1"/>
          <w:sz w:val="24"/>
          <w:szCs w:val="24"/>
        </w:rPr>
        <w:t xml:space="preserve">Evropským 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 xml:space="preserve">rozhodnutím </w:t>
      </w:r>
      <w:r w:rsidR="002A76C7" w:rsidRPr="00454AC3">
        <w:rPr>
          <w:rFonts w:ascii="Arial" w:hAnsi="Arial" w:cs="Arial"/>
          <w:color w:val="000000" w:themeColor="text1"/>
          <w:sz w:val="24"/>
          <w:szCs w:val="24"/>
        </w:rPr>
        <w:t>do 30.6.2020</w:t>
      </w:r>
      <w:r w:rsidR="007C1535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2A76C7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101D02" w14:textId="58F16D55" w:rsidR="00DE45B6" w:rsidRPr="00454AC3" w:rsidRDefault="00EB0EC9" w:rsidP="000E36E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Realizace T</w:t>
      </w:r>
      <w:r w:rsidR="7DCC2F01" w:rsidRPr="00454AC3">
        <w:rPr>
          <w:rFonts w:ascii="Arial" w:hAnsi="Arial" w:cs="Arial"/>
          <w:color w:val="000000" w:themeColor="text1"/>
          <w:sz w:val="24"/>
          <w:szCs w:val="24"/>
        </w:rPr>
        <w:t>PP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musela být přerušena vzhledem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pandemii C</w:t>
      </w:r>
      <w:r w:rsidR="00AD2F68" w:rsidRPr="00454AC3">
        <w:rPr>
          <w:rFonts w:ascii="Arial" w:hAnsi="Arial" w:cs="Arial"/>
          <w:color w:val="000000" w:themeColor="text1"/>
          <w:sz w:val="24"/>
          <w:szCs w:val="24"/>
        </w:rPr>
        <w:t>OVID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-19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období březen-červen 2020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(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novela TPP, </w:t>
      </w:r>
      <w:r w:rsidR="2795E29D" w:rsidRPr="00454AC3">
        <w:rPr>
          <w:rFonts w:ascii="Arial" w:hAnsi="Arial" w:cs="Arial"/>
          <w:color w:val="000000" w:themeColor="text1"/>
          <w:sz w:val="24"/>
          <w:szCs w:val="24"/>
        </w:rPr>
        <w:t>n</w:t>
      </w:r>
      <w:r w:rsidR="00360225" w:rsidRPr="00454AC3">
        <w:rPr>
          <w:rFonts w:ascii="Arial" w:hAnsi="Arial" w:cs="Arial"/>
          <w:color w:val="000000" w:themeColor="text1"/>
          <w:sz w:val="24"/>
          <w:szCs w:val="24"/>
        </w:rPr>
        <w:t xml:space="preserve">ařízení vlády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 xml:space="preserve">č. </w:t>
      </w:r>
      <w:r w:rsidR="2D801D0A" w:rsidRPr="00454AC3">
        <w:rPr>
          <w:rFonts w:ascii="Arial" w:hAnsi="Arial" w:cs="Arial"/>
          <w:color w:val="000000" w:themeColor="text1"/>
          <w:sz w:val="24"/>
          <w:szCs w:val="24"/>
        </w:rPr>
        <w:t>120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/2020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 xml:space="preserve"> Sb.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)</w:t>
      </w:r>
      <w:r w:rsidR="00ED2FBB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0C546C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2FBB" w:rsidRPr="00454AC3">
        <w:rPr>
          <w:rFonts w:ascii="Arial" w:hAnsi="Arial" w:cs="Arial"/>
          <w:color w:val="000000" w:themeColor="text1"/>
          <w:sz w:val="24"/>
          <w:szCs w:val="24"/>
        </w:rPr>
        <w:t>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 xml:space="preserve">důvodu </w:t>
      </w:r>
      <w:r w:rsidR="00ED2FBB" w:rsidRPr="00454AC3">
        <w:rPr>
          <w:rFonts w:ascii="Arial" w:hAnsi="Arial" w:cs="Arial"/>
          <w:color w:val="000000" w:themeColor="text1"/>
          <w:sz w:val="24"/>
          <w:szCs w:val="24"/>
        </w:rPr>
        <w:t xml:space="preserve">souvisejícího vyhlášení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nouzového stavu (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uzavření prodejen se spotřební elektronikou vedoucí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omezení prodeje TV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set-top-boxů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, omezení servisu antén vysílacích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přijímacích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,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 xml:space="preserve">to vč. velmi rozšířených společných </w:t>
      </w:r>
      <w:r w:rsidR="6211DA0F" w:rsidRPr="00454AC3">
        <w:rPr>
          <w:rFonts w:ascii="Arial" w:hAnsi="Arial" w:cs="Arial"/>
          <w:color w:val="000000" w:themeColor="text1"/>
          <w:sz w:val="24"/>
          <w:szCs w:val="24"/>
        </w:rPr>
        <w:t xml:space="preserve">televizních </w:t>
      </w:r>
      <w:r w:rsidR="0039104B" w:rsidRPr="00454AC3">
        <w:rPr>
          <w:rFonts w:ascii="Arial" w:hAnsi="Arial" w:cs="Arial"/>
          <w:color w:val="000000" w:themeColor="text1"/>
          <w:sz w:val="24"/>
          <w:szCs w:val="24"/>
        </w:rPr>
        <w:t>antén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)</w:t>
      </w:r>
      <w:r w:rsidR="00ED2FBB" w:rsidRPr="00454AC3">
        <w:rPr>
          <w:rFonts w:ascii="Arial" w:hAnsi="Arial" w:cs="Arial"/>
          <w:color w:val="000000" w:themeColor="text1"/>
          <w:sz w:val="24"/>
          <w:szCs w:val="24"/>
        </w:rPr>
        <w:t xml:space="preserve"> byl proto proces přerušen na 4 měsíce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.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červenci 2020 byl další novelou TPP (</w:t>
      </w:r>
      <w:r w:rsidR="22C2F07F" w:rsidRPr="00454AC3">
        <w:rPr>
          <w:rFonts w:ascii="Arial" w:hAnsi="Arial" w:cs="Arial"/>
          <w:color w:val="000000" w:themeColor="text1"/>
          <w:sz w:val="24"/>
          <w:szCs w:val="24"/>
        </w:rPr>
        <w:t xml:space="preserve">nařízení vlády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č.</w:t>
      </w:r>
      <w:r w:rsidR="004B7D5E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2680F" w:rsidRPr="00454AC3">
        <w:rPr>
          <w:rFonts w:ascii="Arial" w:hAnsi="Arial" w:cs="Arial"/>
          <w:color w:val="000000" w:themeColor="text1"/>
          <w:sz w:val="24"/>
          <w:szCs w:val="24"/>
        </w:rPr>
        <w:t>268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/2020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 xml:space="preserve"> Sb.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) celý proces restartován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dokončen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31.</w:t>
      </w:r>
      <w:r w:rsidR="68F8BA7F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10.</w:t>
      </w:r>
      <w:r w:rsidR="65BE6BD7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2020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E45B6" w:rsidRPr="00454AC3">
        <w:rPr>
          <w:rFonts w:ascii="Arial" w:hAnsi="Arial" w:cs="Arial"/>
          <w:color w:val="000000" w:themeColor="text1"/>
          <w:sz w:val="24"/>
          <w:szCs w:val="24"/>
        </w:rPr>
        <w:t>podstatě ve struktuře podle původního TPP.</w:t>
      </w:r>
      <w:r w:rsidR="00AC20B2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</w:rPr>
        <w:t>Strategií zvolený</w:t>
      </w:r>
      <w:r w:rsidR="00AC20B2" w:rsidRPr="00454AC3">
        <w:rPr>
          <w:rFonts w:ascii="Arial" w:hAnsi="Arial" w:cs="Arial"/>
          <w:color w:val="000000" w:themeColor="text1"/>
          <w:sz w:val="24"/>
          <w:szCs w:val="24"/>
        </w:rPr>
        <w:t xml:space="preserve"> postup tak prokázal svoji robustnost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AC20B2" w:rsidRPr="00454AC3">
        <w:rPr>
          <w:rFonts w:ascii="Arial" w:hAnsi="Arial" w:cs="Arial"/>
          <w:color w:val="000000" w:themeColor="text1"/>
          <w:sz w:val="24"/>
          <w:szCs w:val="24"/>
        </w:rPr>
        <w:t>efektivnost.</w:t>
      </w:r>
    </w:p>
    <w:p w14:paraId="69A6B3A2" w14:textId="3F5D7226" w:rsidR="009C078F" w:rsidRPr="00454AC3" w:rsidRDefault="002B3F70" w:rsidP="1E3C83C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MPO 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ČTÚ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připravil</w:t>
      </w:r>
      <w:r w:rsidR="006B6E6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y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pro informační podporu občanů specializovan</w:t>
      </w:r>
      <w:r w:rsidR="00F626D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é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webov</w:t>
      </w:r>
      <w:r w:rsidR="00F626D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é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stránk</w:t>
      </w:r>
      <w:r w:rsidR="00F626D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y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, kde </w:t>
      </w:r>
      <w:r w:rsidR="0057784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byly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publikovány nejdůležitější informace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přechodu na DVB-T2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 dispozici pro volnou distribuci podle oblastí vypínání </w:t>
      </w:r>
      <w:r w:rsidR="00EB0E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byly 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letáky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podrobnější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specifickou informací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I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nformační kampaň MPO </w:t>
      </w:r>
      <w:r w:rsidR="00EB0E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byla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provázána </w:t>
      </w:r>
      <w:r w:rsidR="00BF159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173C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termíny</w:t>
      </w:r>
      <w:r w:rsidR="00BF159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vypínání sítí DVB-T </w:t>
      </w:r>
      <w:r w:rsidR="00C173C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dle TPP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Mimo informační </w:t>
      </w:r>
      <w:r w:rsidR="0030232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kampaně 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MPO </w:t>
      </w:r>
      <w:r w:rsidR="00A661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byla realizována 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oordinovaná informační podpora ze strany </w:t>
      </w:r>
      <w:r w:rsidR="002A76C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přímo dotčených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subjektů</w:t>
      </w:r>
      <w:r w:rsidR="005F0EC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tj. operátorů vysílacích sítí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DA054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–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30232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Č</w:t>
      </w:r>
      <w:r w:rsidR="4E1C0FF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Českých Radiokomunikací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D2587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Digital Broadcasting.</w:t>
      </w:r>
      <w:r w:rsidR="004955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Určitou informační kampaň </w:t>
      </w:r>
      <w:r w:rsidR="00993C8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93C8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nižší intenzitou ve srovnání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93C8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ČT </w:t>
      </w:r>
      <w:r w:rsidR="004955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realiz</w:t>
      </w:r>
      <w:r w:rsidR="00A661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ovali</w:t>
      </w:r>
      <w:r w:rsidR="004955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955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někteří provozovatelé vysílání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9407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rámci svého televizního vysílání</w:t>
      </w:r>
      <w:r w:rsidR="004955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1531D4EF" w14:textId="28B0DD60" w:rsidR="000E36E7" w:rsidRPr="00454AC3" w:rsidRDefault="000E4420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MPO připravilo 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ve spolupráci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5E08937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Asociací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krajů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“</w:t>
      </w:r>
      <w:r w:rsidR="2745961C" w:rsidRPr="00454AC3">
        <w:rPr>
          <w:rFonts w:ascii="Arial" w:eastAsia="Arial" w:hAnsi="Arial" w:cs="Arial"/>
          <w:color w:val="000000" w:themeColor="text1"/>
          <w:sz w:val="24"/>
          <w:szCs w:val="24"/>
        </w:rPr>
        <w:t>Program podpory vybavení zařízení sociálních služeb prostřednictvím finanční podpory kraje v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2745961C" w:rsidRPr="00454AC3">
        <w:rPr>
          <w:rFonts w:ascii="Arial" w:eastAsia="Arial" w:hAnsi="Arial" w:cs="Arial"/>
          <w:color w:val="000000" w:themeColor="text1"/>
          <w:sz w:val="24"/>
          <w:szCs w:val="24"/>
        </w:rPr>
        <w:t>souvislosti s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2745961C" w:rsidRPr="00454AC3">
        <w:rPr>
          <w:rFonts w:ascii="Arial" w:eastAsia="Arial" w:hAnsi="Arial" w:cs="Arial"/>
          <w:color w:val="000000" w:themeColor="text1"/>
          <w:sz w:val="24"/>
          <w:szCs w:val="24"/>
        </w:rPr>
        <w:t>přechodem na vysílací standard DVB-T2</w:t>
      </w:r>
      <w:r w:rsidR="52DD9C62" w:rsidRPr="00454AC3">
        <w:rPr>
          <w:rFonts w:ascii="Arial" w:eastAsia="Arial" w:hAnsi="Arial" w:cs="Arial"/>
          <w:color w:val="000000" w:themeColor="text1"/>
          <w:sz w:val="24"/>
          <w:szCs w:val="24"/>
        </w:rPr>
        <w:t>"</w:t>
      </w:r>
      <w:r w:rsidR="2745961C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 (dále jen </w:t>
      </w:r>
      <w:r w:rsidR="14D31A92" w:rsidRPr="00454AC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="2745961C" w:rsidRPr="00454AC3">
        <w:rPr>
          <w:rFonts w:ascii="Arial" w:eastAsia="Arial" w:hAnsi="Arial" w:cs="Arial"/>
          <w:color w:val="000000" w:themeColor="text1"/>
          <w:sz w:val="24"/>
          <w:szCs w:val="24"/>
        </w:rPr>
        <w:t>Program podpory</w:t>
      </w:r>
      <w:r w:rsidR="2F5EC5F8" w:rsidRPr="00454AC3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="2745961C" w:rsidRPr="00454AC3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němž </w:t>
      </w:r>
      <w:r w:rsidR="31B7112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bylo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připraveno 20 mil. Kč, které prostřednictvím krajů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hlavního města Prahy </w:t>
      </w:r>
      <w:r w:rsidR="00EB0E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jsou poskytovány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zařízením sociálních služeb státu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územních samospráv. Tyto prostředky jim finančně </w:t>
      </w:r>
      <w:r w:rsidR="00EB0E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pomáhají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při pořizování set</w:t>
      </w:r>
      <w:r w:rsidR="00DA054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-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top</w:t>
      </w:r>
      <w:r w:rsidR="00DA054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-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boxů, televizních přijímačů nebo při hrazení úprav antén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souvislosti </w:t>
      </w:r>
      <w:r w:rsidR="00ED2FB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se změnou využívání rádiových kmitočtů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přechodem zemského digitálního televizního vysílání ze standardu DVB-T na standard DVB-T2. Program </w:t>
      </w:r>
      <w:r w:rsidR="0064796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podpory </w:t>
      </w:r>
      <w:r w:rsidR="0064796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platí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4A70E42B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po prodloužení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do 31. 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12.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3E1572B0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2021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 Žádost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dotaci </w:t>
      </w:r>
      <w:r w:rsidR="00EB0E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bylo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možné 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původně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podávat ze strany krajů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hlavního města Praha nejpozději do 15. 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9.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2020.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celkové sumy 20 mil. Kč bylo vyčerpáno 7 362 878 Kč.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ohledem na probíhající virovou pandemii</w:t>
      </w:r>
      <w:r w:rsidR="4C25A644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Covid-19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žádosti některých krajů rozhodlo MPO vyhlásit</w:t>
      </w:r>
      <w:r w:rsidR="6BE3C2A5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za stejných podmínek </w:t>
      </w:r>
      <w:r w:rsidR="38CF1F51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d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ruhou výzvu </w:t>
      </w:r>
      <w:r w:rsidR="597BA1D0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p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rogramu</w:t>
      </w:r>
      <w:r w:rsidR="1A62EFC7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.</w:t>
      </w:r>
      <w:r w:rsidR="000E36E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Podmínky vstupu do programu zůstávají stejné</w:t>
      </w:r>
      <w:r w:rsidR="172B4F05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172B4F05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žádosti lze podávat do 31. 7. </w:t>
      </w:r>
      <w:r w:rsidR="29F5BC2C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2021.</w:t>
      </w:r>
    </w:p>
    <w:p w14:paraId="772DB817" w14:textId="21133DDC" w:rsidR="00F45A55" w:rsidRPr="00454AC3" w:rsidRDefault="00D2587A" w:rsidP="6DFA6652">
      <w:pPr>
        <w:pStyle w:val="Odstavecseseznamem2"/>
        <w:spacing w:after="240" w:line="276" w:lineRule="auto"/>
        <w:ind w:left="0"/>
        <w:jc w:val="both"/>
        <w:rPr>
          <w:color w:val="000000" w:themeColor="text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>J</w:t>
      </w:r>
      <w:r w:rsidR="008F03B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e </w:t>
      </w:r>
      <w:r w:rsidR="0061536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možn</w:t>
      </w:r>
      <w:r w:rsidR="11BFF2B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é</w:t>
      </w:r>
      <w:r w:rsidR="0061536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konstatovat, že </w:t>
      </w:r>
      <w:r w:rsidR="008F03B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nový standard vysílání </w:t>
      </w:r>
      <w:r w:rsidR="002A76C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byl</w:t>
      </w:r>
      <w:r w:rsidR="0061536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8F03B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poměrně rychle 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akceptován trh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em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spotřební elektroniky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občany</w:t>
      </w:r>
      <w:r w:rsidR="00F45A55" w:rsidRPr="00454AC3">
        <w:rPr>
          <w:rStyle w:val="Znakapoznpodarou"/>
          <w:rFonts w:ascii="Arial" w:hAnsi="Arial"/>
          <w:color w:val="000000" w:themeColor="text1"/>
          <w:spacing w:val="-1"/>
          <w:sz w:val="24"/>
          <w:szCs w:val="24"/>
          <w:lang w:eastAsia="cs-CZ"/>
        </w:rPr>
        <w:footnoteReference w:id="3"/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 Podle reprezentativního výzkumu obyvatel ČR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DE64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listopadu 2020 – tedy po skončení přechodu na DVB-T</w:t>
      </w:r>
      <w:r w:rsidR="0EEB3572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2, sledovalo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zemské televizní vysílání </w:t>
      </w:r>
      <w:r w:rsidR="00DB513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ve standardu DVB-T2/HEVC </w:t>
      </w:r>
      <w:r w:rsidR="0044091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na některém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4091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televizorů domácnosti 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již </w:t>
      </w:r>
      <w:r w:rsidR="0044091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5</w:t>
      </w:r>
      <w:r w:rsidR="00BC508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1</w:t>
      </w:r>
      <w:r w:rsidR="00B57B8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% </w:t>
      </w:r>
      <w:r w:rsidR="57B5138A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respondentů na</w:t>
      </w:r>
      <w:r w:rsidR="00F45A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hlavním televizoru domácnosti to pak bylo 49</w:t>
      </w:r>
      <w:r w:rsidR="00DA054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F45A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</w:t>
      </w:r>
      <w:r w:rsidR="00BC508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(satelit pak 19</w:t>
      </w:r>
      <w:r w:rsidR="5BA8CF36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C508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%, kabel 21</w:t>
      </w:r>
      <w:r w:rsidR="2021CEBF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C508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BC508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IPTV již 23</w:t>
      </w:r>
      <w:r w:rsidR="79ACB295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C508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%)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což se velmi blíží údajům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období před zahájením přechodu na DVB-T2</w:t>
      </w:r>
      <w:r w:rsidR="00DE64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537D1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F45A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Je nutno konstatovat, že podle opakovaných výzkumů si tento typ příjmu televizního vysílání zachoval svoji 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významnou </w:t>
      </w:r>
      <w:r w:rsidR="00F45A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pozici na trhu šíření zemského televizního vysílání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2450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přes 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náročné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komplikované změny, které se dotkly jak vysílací infrastruktury</w:t>
      </w:r>
      <w:r w:rsidR="002348A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tak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domácností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(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odrobněji viz Příloha</w:t>
      </w:r>
      <w:r w:rsidR="297EF335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č. 1</w:t>
      </w:r>
      <w:r w:rsidR="001C08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část 4)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  <w:r w:rsidR="00F45A5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4D54C5B0" w14:textId="39FCFC69" w:rsidR="00397E79" w:rsidRPr="00454AC3" w:rsidRDefault="00BC5083" w:rsidP="00397E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Údaje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let </w:t>
      </w:r>
      <w:r w:rsidR="50E35D85" w:rsidRPr="00454AC3">
        <w:rPr>
          <w:rFonts w:ascii="Arial" w:hAnsi="Arial" w:cs="Arial"/>
          <w:color w:val="000000" w:themeColor="text1"/>
          <w:sz w:val="24"/>
          <w:szCs w:val="24"/>
        </w:rPr>
        <w:t>2008–2020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03A" w:rsidRPr="00454AC3">
        <w:rPr>
          <w:rFonts w:ascii="Arial" w:hAnsi="Arial" w:cs="Arial"/>
          <w:color w:val="000000" w:themeColor="text1"/>
          <w:sz w:val="24"/>
          <w:szCs w:val="24"/>
        </w:rPr>
        <w:t xml:space="preserve">ovšem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potvrzují opakovaně trvalý trend růstu podílu IPTV</w:t>
      </w:r>
      <w:r w:rsidR="002348AA" w:rsidRPr="00454AC3">
        <w:rPr>
          <w:rFonts w:ascii="Arial" w:hAnsi="Arial" w:cs="Arial"/>
          <w:color w:val="000000" w:themeColor="text1"/>
          <w:sz w:val="24"/>
          <w:szCs w:val="24"/>
        </w:rPr>
        <w:t xml:space="preserve"> na úkor ostatních </w:t>
      </w:r>
      <w:r w:rsidR="00A24AF5" w:rsidRPr="00454AC3">
        <w:rPr>
          <w:rFonts w:ascii="Arial" w:hAnsi="Arial" w:cs="Arial"/>
          <w:color w:val="000000" w:themeColor="text1"/>
          <w:sz w:val="24"/>
          <w:szCs w:val="24"/>
        </w:rPr>
        <w:t>placených</w:t>
      </w:r>
      <w:r w:rsidR="002348AA" w:rsidRPr="00454AC3">
        <w:rPr>
          <w:rFonts w:ascii="Arial" w:hAnsi="Arial" w:cs="Arial"/>
          <w:color w:val="000000" w:themeColor="text1"/>
          <w:sz w:val="24"/>
          <w:szCs w:val="24"/>
        </w:rPr>
        <w:t xml:space="preserve"> TV platforem</w:t>
      </w:r>
      <w:r w:rsidR="00A24AF5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4AF5" w:rsidRPr="00454AC3">
        <w:rPr>
          <w:rFonts w:ascii="Arial" w:hAnsi="Arial" w:cs="Arial"/>
          <w:color w:val="000000" w:themeColor="text1"/>
          <w:sz w:val="24"/>
          <w:szCs w:val="24"/>
        </w:rPr>
        <w:t>N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ejvětší změna je tedy indikována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růstu platformy IPTV na hlavní TV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9</w:t>
      </w:r>
      <w:r w:rsidR="05892CEC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roce 2017 na 23</w:t>
      </w:r>
      <w:r w:rsidR="07D154E1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roce 2020. 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Je nutno konstatovat, že zejména u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hlavní TV domácnosti je využívána kombinace dvou platforem (např. DTT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IPTV)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tento trend bude zřejmě (i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 xml:space="preserve">návaznosti na využití </w:t>
      </w:r>
      <w:proofErr w:type="spellStart"/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HbbTV</w:t>
      </w:r>
      <w:proofErr w:type="spellEnd"/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) pokračovat</w:t>
      </w:r>
      <w:r w:rsidR="00397E79" w:rsidRPr="00454AC3">
        <w:rPr>
          <w:rStyle w:val="Znakapoznpodarou"/>
          <w:rFonts w:ascii="Arial" w:hAnsi="Arial" w:cs="Arial"/>
          <w:color w:val="000000" w:themeColor="text1"/>
          <w:sz w:val="24"/>
          <w:szCs w:val="24"/>
        </w:rPr>
        <w:footnoteReference w:id="4"/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. T</w:t>
      </w:r>
      <w:r w:rsidR="00896355" w:rsidRPr="00454AC3">
        <w:rPr>
          <w:rFonts w:ascii="Arial" w:hAnsi="Arial" w:cs="Arial"/>
          <w:color w:val="000000" w:themeColor="text1"/>
          <w:sz w:val="24"/>
          <w:szCs w:val="24"/>
        </w:rPr>
        <w:t xml:space="preserve">ento trend 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indikují či podporují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návazné údaje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růstu připojení TV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internetu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97E79" w:rsidRPr="00454AC3">
        <w:rPr>
          <w:rFonts w:ascii="Arial" w:hAnsi="Arial" w:cs="Arial"/>
          <w:color w:val="000000" w:themeColor="text1"/>
          <w:sz w:val="24"/>
          <w:szCs w:val="24"/>
        </w:rPr>
        <w:t>využívání příslušných funkcí moderních televizních přijímačů.</w:t>
      </w:r>
    </w:p>
    <w:p w14:paraId="3C0882EF" w14:textId="08F18E68" w:rsidR="00BC5083" w:rsidRPr="00454AC3" w:rsidRDefault="00BC5083" w:rsidP="00BC508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Obdobné údaje byly získány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rámci Kontinuálního výzkumu ATO</w:t>
      </w:r>
      <w:r w:rsidRPr="00454AC3">
        <w:rPr>
          <w:rStyle w:val="Znakapoznpodarou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(pro Asociaci televizních organizací zajišťuje </w:t>
      </w:r>
      <w:proofErr w:type="spellStart"/>
      <w:r w:rsidRPr="00454AC3">
        <w:rPr>
          <w:rFonts w:ascii="Arial" w:hAnsi="Arial" w:cs="Arial"/>
          <w:color w:val="000000" w:themeColor="text1"/>
          <w:sz w:val="24"/>
          <w:szCs w:val="24"/>
        </w:rPr>
        <w:t>Nielsen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4AC3">
        <w:rPr>
          <w:rFonts w:ascii="Arial" w:hAnsi="Arial" w:cs="Arial"/>
          <w:color w:val="000000" w:themeColor="text1"/>
          <w:sz w:val="24"/>
          <w:szCs w:val="24"/>
        </w:rPr>
        <w:t>Admosphere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>). Podle těchto zjištění uvádí příjem televizního vysílání prostřednictvím DTT 55</w:t>
      </w:r>
      <w:r w:rsidR="0957B90C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%, využití satelitu 22</w:t>
      </w:r>
      <w:r w:rsidR="10410E94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kabelové platformy 16</w:t>
      </w:r>
      <w:r w:rsidR="0C196810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respondentů. Také výzkum ATO zjistil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rámci opakovaných šetření významný nárůst využití IPTV platformy (15</w:t>
      </w:r>
      <w:r w:rsidR="105094D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roce 2020). </w:t>
      </w:r>
    </w:p>
    <w:p w14:paraId="618EFE11" w14:textId="425FD94E" w:rsidR="00BC5083" w:rsidRPr="00454AC3" w:rsidRDefault="00397E79" w:rsidP="1E3C83C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Údaje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podzimu 2020 také ukazují, že souběžné vysílání přechodových sítích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DVB-T2 mělo pozitivní vliv na to, že domácnosti poměrně včas přistoupily k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řešení přijímačů pro DVB-T2. Do zahájení vypínání dosavadních vysílacích sítí DVB-T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listopadu 2020 dosáhla připravenost domácností na DVB-T2 již 46</w:t>
      </w:r>
      <w:r w:rsidR="60C3A671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%. Jen 21</w:t>
      </w:r>
      <w:r w:rsidR="3AE7C88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 domácností nechalo zajištění příjmu signálu DVB-T2 vysílání na „poslední chvíli“. Díky šetrnému postupu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využitím přechodových sítí tak bylo jednoznačně eliminováno riziko destrukce platformy DTT.</w:t>
      </w:r>
    </w:p>
    <w:p w14:paraId="3DA7EBC2" w14:textId="321C7A36" w:rsidR="007F4703" w:rsidRPr="00454AC3" w:rsidRDefault="00397E79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Při srovnávání situace před přechodem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po zavedení sítí DVB-T2 drtivá většina dotazovaných</w:t>
      </w:r>
      <w:r w:rsidR="5FE2F800" w:rsidRPr="00454A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kteří byli dotčeni přechodem</w:t>
      </w:r>
      <w:r w:rsidR="1FED1CB1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hodnotí výsledek pozitivně. Nejméně 80</w:t>
      </w:r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dotazovaných hodnotí situaci jako stejnou nebo lepší, navíc nejméně 39</w:t>
      </w:r>
      <w:r w:rsidR="6FEBAC03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hodnotí situaci jako lepší.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hlediska jednotlivých srovnání je jako jednoznačně lepší – 62</w:t>
      </w:r>
      <w:r w:rsidR="65CAD456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- kvalita obrazu, nejméně pozitivních hodnocení -</w:t>
      </w:r>
      <w:r w:rsidR="2A51BC59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39</w:t>
      </w:r>
      <w:r w:rsidR="4DE7D2E5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% - má „kvalita pokrytí signálem DVB-T2 u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Vás“, což souvisí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 problémy, které jsou rozebrány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části týkající se správy rádiového spektra.</w:t>
      </w:r>
      <w:r w:rsidR="0024503A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Zemské televizní vysílání tak zůstává preferovanou 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>televizní platformou pro většinu obyvatel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domácností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ČR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960A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 změně vysílacího standardu platformy DTT</w:t>
      </w:r>
      <w:r w:rsidR="477B40A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7B0846E0" w14:textId="6E3EDB98" w:rsidR="009F1293" w:rsidRPr="00454AC3" w:rsidRDefault="009F1293" w:rsidP="00647966">
      <w:pPr>
        <w:jc w:val="both"/>
        <w:rPr>
          <w:color w:val="000000" w:themeColor="text1"/>
          <w:sz w:val="24"/>
          <w:szCs w:val="24"/>
          <w:lang w:eastAsia="cs-CZ"/>
        </w:rPr>
      </w:pPr>
      <w:r w:rsidRPr="00454AC3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Rušení</w:t>
      </w:r>
      <w:r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 xml:space="preserve"> příjmu signálů DTT v</w:t>
      </w:r>
      <w:r w:rsidR="000D3CC9"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době přechodu na DVB-T2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07940174" w14:textId="32D209F0" w:rsidR="009F1293" w:rsidRPr="00454AC3" w:rsidRDefault="009F1293" w:rsidP="0064796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Nejčastějšími příčinami problémů s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příjmem TV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době přechodu na DVB-T2 byly identifikovány závady na straně diváka (52</w:t>
      </w:r>
      <w:r w:rsidR="4C7B58BE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% všech prošetřovaných stížností </w:t>
      </w:r>
      <w:r w:rsidR="00A5559D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– 11 tis.</w:t>
      </w:r>
      <w:r w:rsidR="00424E5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61598207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podnětů –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období 2016-2020).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Podněty </w:t>
      </w:r>
      <w:r w:rsidR="009B36F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diváků zasílané na ČTÚ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B36F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průběhu celého procesu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byly řešeny na základě opatření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postupů útvaru státní kontroly ČTÚ.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Kromě vysloveně technických závad, souvisejících se špatným stavem antén a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ant</w:t>
      </w:r>
      <w:r w:rsidR="10E65D24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énních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rozvodů to byly uživatelské chyby související s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příjmem programů vysílaných duplicitně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různých vysílacích sítích (původních DVB-T, přechodových DVB-T2 a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finálních DVB-T2). </w:t>
      </w:r>
      <w:r w:rsidR="00A5559D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Podrobný rozbor zjištění je uveden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="00A5559D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Příloze</w:t>
      </w:r>
      <w:r w:rsidR="00BC5083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424E5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č.1 </w:t>
      </w:r>
      <w:r w:rsidR="00A5559D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část 2.</w:t>
      </w:r>
      <w:r w:rsidR="0024503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4</w:t>
      </w:r>
      <w:r w:rsidR="00A5559D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14:paraId="70A0F799" w14:textId="17B4DAF7" w:rsidR="0024503A" w:rsidRPr="00454AC3" w:rsidRDefault="0024503A" w:rsidP="00647966">
      <w:pPr>
        <w:jc w:val="both"/>
        <w:rPr>
          <w:color w:val="000000" w:themeColor="text1"/>
          <w:sz w:val="24"/>
          <w:szCs w:val="24"/>
        </w:rPr>
      </w:pP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Postup při řešení problémů s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rušením vysílání jinými sítěmi se řídí ustanoveními § 100 </w:t>
      </w:r>
      <w:r w:rsidR="6BE9A6E6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zákona č. 127/2005 Sb., o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="6BE9A6E6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elektronických komunikacích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.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případě, že je zjištěn zdroj rušení, je provozovatel rušícího zařízení vyzván k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odstranění zdroje rušení.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případě rušení příjmu TV provozem základnové stanice LTE nadále platí postupy dohodnuté s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operátory mobilních sítí před zahájením výstavby sítí LTE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pásmu 800 MHz. Obdobné postupy budou aplikovány i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pro ochranu DTT před interferencemi z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pásma 700 MHz, což bylo definováno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podmínkách aukce kmitočtů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roce 2020.</w:t>
      </w:r>
    </w:p>
    <w:p w14:paraId="6504D357" w14:textId="05DBB9FF" w:rsidR="009F1293" w:rsidRPr="00454AC3" w:rsidRDefault="009F1293" w:rsidP="00647966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Po ukončení přechodu se začaly projevovat problémy související s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koncepcí SFN sítě vysílačů. Přes jejich nesporné výhody se ukázalo, že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SFN, složené z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vysílačů velkého výkonu umístěných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="0024503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určitých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vzdálenostech, dochází k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="00896355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lokálním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problémům s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příjmem signálů mimo ochranný interval při </w:t>
      </w:r>
      <w:r w:rsidR="0024503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některých</w:t>
      </w:r>
      <w:r w:rsidR="002348A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projevech inverzního počasí.</w:t>
      </w:r>
      <w:r w:rsidR="002348A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="002348A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některých lokalitách je navíc signál degradován mnohačetnými odrazy v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="002348A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rámci velkých jedno-frekvenčních sítí, což způsobuje obtíže </w:t>
      </w:r>
      <w:r w:rsidR="006C500C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</w:t>
      </w:r>
      <w:r w:rsidR="002348A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ři příjmu zemského televizního vysílání.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Z</w:t>
      </w:r>
      <w:r w:rsidR="000D3CC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hlediska zajištění plné dostupnosti televizního vysílání prostřednictvím vysílacích sítí DVB-T2 zůstává otevřenou otázkou pro další období </w:t>
      </w:r>
      <w:r w:rsidR="0024503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případné </w:t>
      </w:r>
      <w:r w:rsidR="1BD3B545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doplnění,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24503A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resp. optimalizace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stávajících celoplošných sítí rádiovými kmitočty, které by umožnily zajistit řešení výše uvedených dílčích </w:t>
      </w:r>
      <w:r w:rsidR="009B36F9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místních </w:t>
      </w:r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problémů</w:t>
      </w:r>
      <w:r w:rsidR="00896355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prostřednictvím opakovačů či </w:t>
      </w:r>
      <w:proofErr w:type="spellStart"/>
      <w:r w:rsidR="00896355"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dokrývačů</w:t>
      </w:r>
      <w:proofErr w:type="spellEnd"/>
      <w:r w:rsidRPr="00454AC3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14:paraId="4B88A46B" w14:textId="5B72647D" w:rsidR="00B557FE" w:rsidRPr="00454AC3" w:rsidRDefault="00B557FE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u w:val="single"/>
          <w:lang w:eastAsia="cs-CZ"/>
        </w:rPr>
      </w:pPr>
      <w:r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Náklady a</w:t>
      </w:r>
      <w:r w:rsidR="000D3CC9"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eastAsia="cs-CZ"/>
        </w:rPr>
        <w:t>výnosy, kompenzace</w:t>
      </w:r>
    </w:p>
    <w:p w14:paraId="2B67BF21" w14:textId="07F7E1C1" w:rsidR="00362229" w:rsidRPr="00454AC3" w:rsidRDefault="7F10B74B" w:rsidP="00647966">
      <w:pPr>
        <w:pStyle w:val="Odstavecseseznamem2"/>
        <w:spacing w:after="240" w:line="276" w:lineRule="auto"/>
        <w:ind w:left="0"/>
        <w:jc w:val="both"/>
        <w:rPr>
          <w:color w:val="000000" w:themeColor="text1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</w:t>
      </w:r>
      <w:r w:rsidR="00F423C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áklady </w:t>
      </w:r>
      <w:r w:rsidR="584B237C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ze státního rozpočtu </w:t>
      </w:r>
      <w:r w:rsidR="00F423C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na celý postup byly ve výši necel</w:t>
      </w:r>
      <w:r w:rsidR="006C500C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é</w:t>
      </w:r>
      <w:r w:rsidR="00F423C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6C500C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3</w:t>
      </w:r>
      <w:r w:rsidR="00F423C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mil. Kč na řízení procesu (monitoring procesu, expertízy atp.)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6C500C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cca 11 </w:t>
      </w:r>
      <w:r w:rsidR="00F423C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mil</w:t>
      </w:r>
      <w:r w:rsidR="003C667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992EFA2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3C667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Kč</w:t>
      </w:r>
      <w:r w:rsidR="00F423C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na informační kampaň.</w:t>
      </w:r>
      <w:r w:rsidR="75B0AC3F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Další náklady tvoří </w:t>
      </w:r>
      <w:r w:rsidR="4680F05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finanční prostředky čerpané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>“Program</w:t>
      </w:r>
      <w:r w:rsidR="61BAE228" w:rsidRPr="00454AC3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 podpory vybavení zařízení sociálních služeb prostřednictvím finanční podpory kraje v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>souvislosti s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>přechodem na vysílací standard DVB-T2"</w:t>
      </w:r>
      <w:r w:rsidR="428883C6" w:rsidRPr="00454AC3">
        <w:rPr>
          <w:rFonts w:ascii="Arial" w:eastAsia="Arial" w:hAnsi="Arial" w:cs="Arial"/>
          <w:color w:val="000000" w:themeColor="text1"/>
          <w:sz w:val="24"/>
          <w:szCs w:val="24"/>
        </w:rPr>
        <w:t>, v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428883C6" w:rsidRPr="00454AC3">
        <w:rPr>
          <w:rFonts w:ascii="Arial" w:eastAsia="Arial" w:hAnsi="Arial" w:cs="Arial"/>
          <w:color w:val="000000" w:themeColor="text1"/>
          <w:sz w:val="24"/>
          <w:szCs w:val="24"/>
        </w:rPr>
        <w:t>kterém</w:t>
      </w:r>
      <w:r w:rsidR="0470067F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 bylo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 připraveno 20 mil. Kč, které prostřednictvím krajů a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>hlavního města Prahy jsou poskytovány zařízením sociálních služeb státu a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územních samospráv. Program podpory </w:t>
      </w:r>
      <w:r w:rsidR="271EB0A8" w:rsidRPr="00454AC3">
        <w:rPr>
          <w:rFonts w:ascii="Arial" w:eastAsia="Arial" w:hAnsi="Arial" w:cs="Arial"/>
          <w:color w:val="000000" w:themeColor="text1"/>
          <w:sz w:val="24"/>
          <w:szCs w:val="24"/>
        </w:rPr>
        <w:t>byl prodloužen a</w:t>
      </w:r>
      <w:r w:rsidR="000D3CC9" w:rsidRPr="00454AC3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="75B0AC3F" w:rsidRPr="00454AC3">
        <w:rPr>
          <w:rFonts w:ascii="Arial" w:eastAsia="Arial" w:hAnsi="Arial" w:cs="Arial"/>
          <w:color w:val="000000" w:themeColor="text1"/>
          <w:sz w:val="24"/>
          <w:szCs w:val="24"/>
        </w:rPr>
        <w:t>platí do 31. 12. 2021</w:t>
      </w:r>
      <w:r w:rsidR="0FC1728E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.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0FC1728E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rámci první výzvy </w:t>
      </w:r>
      <w:r w:rsidR="6C93E03E" w:rsidRPr="00454AC3">
        <w:rPr>
          <w:rFonts w:ascii="Arial" w:eastAsia="Arial" w:hAnsi="Arial" w:cs="Arial"/>
          <w:color w:val="000000" w:themeColor="text1"/>
          <w:sz w:val="24"/>
          <w:szCs w:val="24"/>
        </w:rPr>
        <w:t>bylo čerpáno více jak 7,3</w:t>
      </w:r>
      <w:r w:rsidR="2AC8ED59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 mil K</w:t>
      </w:r>
      <w:r w:rsidR="4A8AB052" w:rsidRPr="00454AC3">
        <w:rPr>
          <w:rFonts w:ascii="Arial" w:eastAsia="Arial" w:hAnsi="Arial" w:cs="Arial"/>
          <w:color w:val="000000" w:themeColor="text1"/>
          <w:sz w:val="24"/>
          <w:szCs w:val="24"/>
        </w:rPr>
        <w:t>č.</w:t>
      </w:r>
    </w:p>
    <w:p w14:paraId="4FEF1FD8" w14:textId="597B1CDD" w:rsidR="009B36F9" w:rsidRPr="00454AC3" w:rsidRDefault="00F423CA" w:rsidP="1E3C83C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Mimo náklady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rámci </w:t>
      </w:r>
      <w:r w:rsidR="0012486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státního rozpočtu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byly plánovány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kompenzace vyvolaných nákladů 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operátorů vysílacích sítí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ve výši 440-630 mil. Kč </w:t>
      </w:r>
      <w:r w:rsidR="517B21A3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hrazených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Radiokomunikačního účtu spravovaného ČTÚ. Vzhledem k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tomu, že 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tyto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 xml:space="preserve">kompenzace podléhají notifikaci 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u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Evropské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komise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jsou schvalovány postupně</w:t>
      </w:r>
      <w:r w:rsidR="00B3719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nebyla zatím celá plánovaná částka vyplacena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 Dosud bylo vyplaceno</w:t>
      </w:r>
      <w:r w:rsidR="003B4C2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cca 52 mil. Kč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na základě </w:t>
      </w:r>
      <w:r w:rsidR="00AE154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schváleného rozhodnutí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E</w:t>
      </w:r>
      <w:r w:rsidR="00AE154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 ve věci SA.55742(2019/N) – Česká republika Podpora na výměnu kmitočtově závislých vysílacích zařízení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E154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souvislosti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E154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přesunem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E154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pásma 700 MHz</w:t>
      </w:r>
      <w:r w:rsidR="0027790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3B4C2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 </w:t>
      </w:r>
      <w:r w:rsidR="009B36F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EK </w:t>
      </w:r>
      <w:r w:rsidR="003B4C2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schválené částky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78,376 mil. Kč. </w:t>
      </w:r>
      <w:r w:rsidR="00412C2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Zbylých cca 26,4 mil. Kč bude uhrazeno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412C2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první polovině roku 2021</w:t>
      </w:r>
      <w:r w:rsidR="00C303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303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návaznosti na postupné dokončení procesu ověřování předložených žádostí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303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tyto kompenzace</w:t>
      </w:r>
      <w:r w:rsidR="00412C2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</w:p>
    <w:p w14:paraId="0165C438" w14:textId="3FF84C3B" w:rsidR="00F423CA" w:rsidRPr="00454AC3" w:rsidRDefault="00F423CA" w:rsidP="00776028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V rámci notifikačního řízení jsou aktuálně dále </w:t>
      </w:r>
      <w:r w:rsidR="000E3FA0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předloženy ke schválení 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kompenzace </w:t>
      </w:r>
      <w:r w:rsidR="000E3FA0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nákladů 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ve výší 46,377 mil. Kč za období přerušení procesu přechodu </w:t>
      </w:r>
      <w:r w:rsidR="00AD2F68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po vyhlášení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nouzové</w:t>
      </w:r>
      <w:r w:rsidR="00AD2F68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ho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 stavu a</w:t>
      </w:r>
      <w:r w:rsidR="000D3CC9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dále </w:t>
      </w:r>
      <w:r w:rsidR="000E3FA0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kompenzace nákladů ve výši 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506,161 mil.</w:t>
      </w:r>
      <w:r w:rsidR="00B37194"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bCs/>
          <w:color w:val="000000" w:themeColor="text1"/>
          <w:spacing w:val="-1"/>
          <w:sz w:val="24"/>
          <w:szCs w:val="24"/>
          <w:lang w:eastAsia="cs-CZ"/>
        </w:rPr>
        <w:t>Kč za souběžné vysílání.</w:t>
      </w:r>
    </w:p>
    <w:p w14:paraId="400AD1D3" w14:textId="10F0E97C" w:rsidR="001C22DD" w:rsidRPr="00454AC3" w:rsidRDefault="001C22DD" w:rsidP="102962DD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Výnosy celého procesu se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zásadě očekávaly ve dvou kategoriích. Jeden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výnosů byl příjem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aukc</w:t>
      </w:r>
      <w:r w:rsidR="00C303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e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uvolněných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rádiov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ých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kmitočt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ů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pro mobilní </w:t>
      </w:r>
      <w:r w:rsidR="3DB8F36F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datové služby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který byl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rámci Strategie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roce 2016 odhadnut na 4,630 mld. Kč</w:t>
      </w:r>
      <w:r w:rsidR="0024503A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listopadu vyhlášená aukce </w:t>
      </w:r>
      <w:r w:rsidR="003C667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(ovšem spolu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3C667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kmitočty pásmy 3,7 GHz) </w:t>
      </w:r>
      <w:r w:rsidR="00C303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vynesla </w:t>
      </w:r>
      <w:r w:rsidR="0037459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částku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5,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6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mld</w:t>
      </w:r>
      <w:r w:rsidR="00DA054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 Kč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toho aukční bloky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pásmu 700 MHz byly vydraženy za 3</w:t>
      </w:r>
      <w:r w:rsidR="00C3036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99 mld.</w:t>
      </w:r>
      <w:r w:rsidR="00DA054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Kč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B3719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Do výnosů celého procesu se také kalkulovalo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částkou 1,08 mld. Kč za zvýšení výběru DPH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za prodaná přijímací zařízení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 Po vyhodnocení statistických údajů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prodejích televizních přijímačů je možno částku za zvýšený výběr DPH (oproti běžným prodejům TV) odhadnout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nejméně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ve výši cca 2,9 mld.</w:t>
      </w:r>
      <w:r w:rsidR="00B3719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Kč (prodeje TV se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letech 2012-2016 pohybovaly pod 6</w:t>
      </w:r>
      <w:r w:rsidR="002E20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5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0 tis. kusů 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ročně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klesající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 objemem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letech 2017-2020 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opět narostly prodeje přes 750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-</w:t>
      </w:r>
      <w:r w:rsidR="002E204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9</w:t>
      </w:r>
      <w:r w:rsidR="000E3FA0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50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tis.</w:t>
      </w:r>
      <w:r w:rsidR="00B3719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057EA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kusů 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ročně</w:t>
      </w:r>
      <w:r w:rsidR="0096561C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).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037C3DD9" w14:textId="08C1FC8B" w:rsidR="001C22DD" w:rsidRPr="00454AC3" w:rsidRDefault="00D80FED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Celková bilance finančních nákladů tak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pohledu veřejných prostředků nepředstavovala </w:t>
      </w:r>
      <w:r w:rsidR="006C06E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6C06E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nebude představovat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zátěž, ale významný přínos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 pohledu financí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1C22D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31359530" w14:textId="0A215C04" w:rsidR="469E6124" w:rsidRPr="00454AC3" w:rsidRDefault="469E6124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Notifikační řízení </w:t>
      </w:r>
      <w:r w:rsidR="29832E57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veřejné podpory 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0D3CC9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EK</w:t>
      </w:r>
    </w:p>
    <w:p w14:paraId="469AB0BC" w14:textId="3F64E2A7" w:rsidR="001C083A" w:rsidRPr="00454AC3" w:rsidRDefault="001C083A" w:rsidP="001C083A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Na základě přijaté vládní </w:t>
      </w:r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>Strategie byly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ve spolupráci Koordinační expertní skupiny MPO, ČTÚ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ÚOHS připraveny již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závěru roku 2016 podklady pro </w:t>
      </w:r>
      <w:proofErr w:type="spellStart"/>
      <w:r w:rsidRPr="00454AC3">
        <w:rPr>
          <w:rFonts w:ascii="Arial" w:hAnsi="Arial" w:cs="Arial"/>
          <w:color w:val="000000" w:themeColor="text1"/>
          <w:sz w:val="24"/>
          <w:szCs w:val="24"/>
        </w:rPr>
        <w:t>prenotifikační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řízení na </w:t>
      </w:r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>EK.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Cílem bylo předběžné projednání přístupu ke kompenzaci konkrétních vyvolaných nákladů tak, jak je navrhováno ve </w:t>
      </w:r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>Strategii.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Obsahem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EK projednávané kompenzace je úhrada nákladů vyvolaných vynuceným uvolněním rádiových kanálů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pásma 700 MHz, které jsou spojeny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nutnou výměnou rádiových kmitočtů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provozováním přechodových sítí. </w:t>
      </w:r>
    </w:p>
    <w:p w14:paraId="377AEECB" w14:textId="1D8A5542" w:rsidR="001C083A" w:rsidRPr="00454AC3" w:rsidRDefault="006C500C" w:rsidP="001C083A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První n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otifikační řízení části kompenzovaných nákladů (Podpora na výměnu kmitočtově závislých vysílacích zařízení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souvislosti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přesunem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pásma 700 MHz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1C083A" w:rsidRPr="00454A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bylo zahájeno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listopadu 2019.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lednu 2020 bylo vydáno rozhodnutí Evropské komise SA.55742 (2019/N) – Česká republika Podpora na výměnu kmitočtově závislých vysílacích zařízení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souvislosti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>přesunem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 xml:space="preserve">pásma 700 MHz, na </w:t>
      </w:r>
      <w:proofErr w:type="gramStart"/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>základě</w:t>
      </w:r>
      <w:proofErr w:type="gramEnd"/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 xml:space="preserve"> kterého je podporu možné poskytnout, neboť je slučitelná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 xml:space="preserve">vnitřním trhem Evropské 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lastRenderedPageBreak/>
        <w:t>unie na základě čl. 107 (3c) SFEU. Kompenzace jsou po prověření podaných žádostí postupně hrazeny prostřednictvím ČTÚ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C083A" w:rsidRPr="00454AC3">
        <w:rPr>
          <w:rFonts w:ascii="Arial" w:hAnsi="Arial" w:cs="Arial"/>
          <w:color w:val="000000" w:themeColor="text1"/>
          <w:sz w:val="24"/>
          <w:szCs w:val="24"/>
        </w:rPr>
        <w:t xml:space="preserve">Radiokomunikačního účtu.  </w:t>
      </w:r>
    </w:p>
    <w:p w14:paraId="49401C12" w14:textId="07D2C7F6" w:rsidR="001C083A" w:rsidRPr="00454AC3" w:rsidRDefault="001C083A" w:rsidP="6DFA6652">
      <w:pPr>
        <w:pStyle w:val="Odstavecseseznamem2"/>
        <w:spacing w:after="240" w:line="276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Koncem roku 2020 byl</w:t>
      </w:r>
      <w:r w:rsidR="44E4AC19" w:rsidRPr="00454AC3">
        <w:rPr>
          <w:rFonts w:ascii="Arial" w:hAnsi="Arial" w:cs="Arial"/>
          <w:color w:val="000000" w:themeColor="text1"/>
          <w:sz w:val="24"/>
          <w:szCs w:val="24"/>
        </w:rPr>
        <w:t>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Evropské komise připraven</w:t>
      </w:r>
      <w:r w:rsidR="17FBAB39" w:rsidRPr="00454AC3">
        <w:rPr>
          <w:rFonts w:ascii="Arial" w:hAnsi="Arial" w:cs="Arial"/>
          <w:color w:val="000000" w:themeColor="text1"/>
          <w:sz w:val="24"/>
          <w:szCs w:val="24"/>
        </w:rPr>
        <w:t>y</w:t>
      </w:r>
      <w:r w:rsidRPr="00454AC3">
        <w:t xml:space="preserve"> </w:t>
      </w:r>
      <w:r w:rsidRPr="00454AC3">
        <w:rPr>
          <w:rFonts w:ascii="Arial" w:eastAsia="Arial" w:hAnsi="Arial" w:cs="Arial"/>
          <w:sz w:val="24"/>
          <w:szCs w:val="24"/>
        </w:rPr>
        <w:t>další dvě konkrétní notifikační řízení</w:t>
      </w:r>
      <w:r w:rsidR="00F16181" w:rsidRPr="00454AC3">
        <w:rPr>
          <w:rFonts w:ascii="Arial" w:eastAsia="Arial" w:hAnsi="Arial" w:cs="Arial"/>
          <w:sz w:val="24"/>
          <w:szCs w:val="24"/>
        </w:rPr>
        <w:t>, která jsou nyní finalizována</w:t>
      </w:r>
      <w:r w:rsidRPr="00454AC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 Druhým notifikačním řízením je </w:t>
      </w:r>
      <w:r w:rsidR="262FB197" w:rsidRPr="00454AC3">
        <w:rPr>
          <w:rFonts w:ascii="Arial" w:hAnsi="Arial" w:cs="Arial"/>
          <w:color w:val="000000" w:themeColor="text1"/>
          <w:sz w:val="24"/>
          <w:szCs w:val="24"/>
        </w:rPr>
        <w:t>n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otifikace kompenzace nákladů na provozování souběžného vysílání prostřednictvím přechodových sítí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období 2017-2020</w:t>
      </w:r>
      <w:r w:rsidR="00BC5083" w:rsidRPr="00454AC3">
        <w:rPr>
          <w:rFonts w:ascii="Arial" w:hAnsi="Arial" w:cs="Arial"/>
          <w:color w:val="000000" w:themeColor="text1"/>
          <w:sz w:val="24"/>
          <w:szCs w:val="24"/>
        </w:rPr>
        <w:t xml:space="preserve"> (viz též Příloha</w:t>
      </w:r>
      <w:r w:rsidR="75C2EF18" w:rsidRPr="00454AC3">
        <w:rPr>
          <w:rFonts w:ascii="Arial" w:hAnsi="Arial" w:cs="Arial"/>
          <w:color w:val="000000" w:themeColor="text1"/>
          <w:sz w:val="24"/>
          <w:szCs w:val="24"/>
        </w:rPr>
        <w:t xml:space="preserve"> č. 1</w:t>
      </w:r>
      <w:r w:rsidR="00BC5083" w:rsidRPr="00454AC3">
        <w:rPr>
          <w:rFonts w:ascii="Arial" w:hAnsi="Arial" w:cs="Arial"/>
          <w:color w:val="000000" w:themeColor="text1"/>
          <w:sz w:val="24"/>
          <w:szCs w:val="24"/>
        </w:rPr>
        <w:t xml:space="preserve"> část 1.)</w:t>
      </w:r>
      <w:r w:rsidR="00CB7C2E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CB7C2E" w:rsidRPr="00454AC3">
        <w:rPr>
          <w:rFonts w:ascii="Arial" w:hAnsi="Arial" w:cs="Arial"/>
          <w:color w:val="000000" w:themeColor="text1"/>
          <w:sz w:val="24"/>
          <w:szCs w:val="24"/>
        </w:rPr>
        <w:t>třetím</w:t>
      </w:r>
      <w:r w:rsidR="00EA36F2" w:rsidRPr="00454AC3">
        <w:rPr>
          <w:rFonts w:ascii="Arial" w:hAnsi="Arial" w:cs="Arial"/>
          <w:color w:val="000000" w:themeColor="text1"/>
          <w:sz w:val="24"/>
          <w:szCs w:val="24"/>
        </w:rPr>
        <w:t xml:space="preserve"> řízením</w:t>
      </w:r>
      <w:r w:rsidR="00CB7C2E" w:rsidRPr="00454AC3">
        <w:rPr>
          <w:rFonts w:ascii="Arial" w:hAnsi="Arial" w:cs="Arial"/>
          <w:color w:val="000000" w:themeColor="text1"/>
          <w:sz w:val="24"/>
          <w:szCs w:val="24"/>
        </w:rPr>
        <w:t xml:space="preserve"> je kompenzace nákladů souběžného vysílání nad rámec původního TPP ad nouzový stav na jaře 2020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3E3304D" w14:textId="2DDD06A1" w:rsidR="00D7306E" w:rsidRPr="00454AC3" w:rsidRDefault="001C083A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Obě notifikační řízení nebyla dosud </w:t>
      </w:r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 xml:space="preserve">dokončena 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4915CD0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je předpoklad, že 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proces notifikace </w:t>
      </w:r>
      <w:r w:rsidR="00CB69C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nákladů 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souběžného vysílání (</w:t>
      </w:r>
      <w:r w:rsidR="006466B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požadovaná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kompenzace ve výši</w:t>
      </w:r>
      <w:r w:rsidR="00D2680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cca 50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6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mil. Kč)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notifikace </w:t>
      </w:r>
      <w:r w:rsidR="00CB69C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nákladů vynaložených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B69C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období 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přerušení přechodu 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(46 mil.</w:t>
      </w:r>
      <w:r w:rsidR="00B3719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D80FE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Kč) 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na 4</w:t>
      </w:r>
      <w:r w:rsidR="0070242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měsíce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důvod</w:t>
      </w:r>
      <w:r w:rsidR="3723A870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u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nouzového stavu</w:t>
      </w:r>
      <w:r w:rsidR="4406700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bude probíhat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4406700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během roku 2021</w:t>
      </w:r>
      <w:r w:rsidR="00D546C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</w:p>
    <w:p w14:paraId="5103CA38" w14:textId="7FF49732" w:rsidR="00D7306E" w:rsidRPr="00454AC3" w:rsidRDefault="00D546CF" w:rsidP="1E3C83C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Radi</w:t>
      </w:r>
      <w:r w:rsidR="0047031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komunikační </w:t>
      </w:r>
      <w:r w:rsidR="00D2680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účet</w:t>
      </w:r>
      <w:r w:rsidR="00D7306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z</w:t>
      </w:r>
      <w:r w:rsidR="26451B0F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e</w:t>
      </w:r>
      <w:r w:rsidR="00D7306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 kterého jsou kompenzace hrazeny, </w:t>
      </w:r>
      <w:r w:rsidR="00D2680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je tvořen na základě poplatků za využití </w:t>
      </w:r>
      <w:r w:rsidR="00B3719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rádiového </w:t>
      </w:r>
      <w:r w:rsidR="00D2680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spektra.  </w:t>
      </w:r>
    </w:p>
    <w:p w14:paraId="3B4642F7" w14:textId="30675258" w:rsidR="008F03BE" w:rsidRPr="00454AC3" w:rsidRDefault="00D2680F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Kompenzace nákladů, upravená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národním právním rámcem</w:t>
      </w:r>
      <w:r w:rsidR="00993C8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8E09F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ZEK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vychází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faktu, že uvolnění spektra pásma 700 MHz bylo státním zásahem do trhu šíření zemského televizního vysílání</w:t>
      </w:r>
      <w:r w:rsidR="005A4E9E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537D1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</w:p>
    <w:p w14:paraId="2C6EE634" w14:textId="224CF577" w:rsidR="00C004D3" w:rsidRPr="00454AC3" w:rsidRDefault="00C004D3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Předpokládaný vývoj ve správě rádiového spektra</w:t>
      </w:r>
    </w:p>
    <w:p w14:paraId="62EE5CD3" w14:textId="2AA4B86B" w:rsidR="00C1717B" w:rsidRPr="00454AC3" w:rsidRDefault="00955D08" w:rsidP="1E3C83C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Vhodně nastaveným p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rocesem přechodu na DVB-T2 se podařilo bez podstatného negativního ovlivnění TV trhu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bez </w:t>
      </w:r>
      <w:r w:rsidR="00A07E0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snížení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dostupnosti bezplatného televizního vysílání pro domácnosti </w:t>
      </w:r>
      <w:r w:rsidR="00303A4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uvolnit Evropským rozhodnutím požadované rádiové spektrum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303A4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pásmu 700 MHz. 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ohledem na nadcházející jednání </w:t>
      </w:r>
      <w:proofErr w:type="spellStart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The</w:t>
      </w:r>
      <w:proofErr w:type="spellEnd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proofErr w:type="spellStart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World</w:t>
      </w:r>
      <w:proofErr w:type="spellEnd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proofErr w:type="spellStart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Radiocommunication</w:t>
      </w:r>
      <w:proofErr w:type="spellEnd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proofErr w:type="spellStart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Conference</w:t>
      </w:r>
      <w:proofErr w:type="spellEnd"/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roce 2023 (WRC 2023), které bude posuzovat budoucí využití UHF pásma </w:t>
      </w:r>
      <w:r w:rsidR="3E871ADB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470–960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MHz na základě Rezoluce 235 WRC-15</w:t>
      </w:r>
      <w:r w:rsidR="001A3E96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budoucí harmonizaci rádiového spektra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pásmu UHF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F470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rámci EU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období </w:t>
      </w:r>
      <w:r w:rsidR="00EA36F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po roce </w:t>
      </w:r>
      <w:r w:rsidR="00C777D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2030 </w:t>
      </w:r>
      <w:r w:rsidR="0004617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je nutno očekávat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rozsáhlou diskusi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dalším využití </w:t>
      </w:r>
      <w:r w:rsidR="00901F0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zbývající části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pásma UHF</w:t>
      </w:r>
      <w:r w:rsidR="0004617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Výsledkem diskusí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vývoje trhů může být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určitém případě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návazné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evropské rozhodnutí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6466B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uvolnění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dalšího kmitočtového pásma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(„600 MHz“</w:t>
      </w:r>
      <w:r w:rsidR="0018547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, konkrétně </w:t>
      </w:r>
      <w:r w:rsidR="0DA0A6CC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598–694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MHz)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pásma </w:t>
      </w:r>
      <w:r w:rsidR="00303A4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470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-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694 MHz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užívaného vysílacími sítě</w:t>
      </w:r>
      <w:r w:rsidR="00C777D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mi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pro šíření zemského digitálního vysílání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dosud garantovaného do roku 2030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</w:p>
    <w:p w14:paraId="5701EB6D" w14:textId="4E25F14C" w:rsidR="001929C1" w:rsidRPr="00454AC3" w:rsidRDefault="5F774BFC" w:rsidP="001929C1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Má se za to</w:t>
      </w:r>
      <w:r w:rsidR="0004617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že pro většinu států EU zůstává platforma zemského televizního vysílání klíčovou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4617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tyto státy plánují zachovat pásmo 500/600 MHz pro tuto platformu i</w:t>
      </w:r>
      <w:r w:rsidR="0070242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A47937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</w:t>
      </w:r>
      <w:r w:rsidR="0070242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4617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dlouhodobém časovém rámci po roce 2030. 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dosavadního vývoje pozice zemského digitálního vysílání (DTT) je zřejmé, že ČR </w:t>
      </w:r>
      <w:r w:rsidR="755EBEA3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by měla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budoucích jednáních k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využití 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pásem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74D98E4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současnosti využívaných pro zemské televizní vysílání </w:t>
      </w:r>
      <w:r w:rsidR="00955D08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usilovat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dlouhodobé udržení </w:t>
      </w:r>
      <w:r w:rsidR="00EA36F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celého zbývajícího 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pásma 470-694 MHz pro zemské televizní vysílání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 roce 2030</w:t>
      </w:r>
      <w:r w:rsidR="441EED1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To j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sou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významn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é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skutečnost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i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, kter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é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podstatným způsobem ovlivňuj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í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již nyní původní předpoklady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Strategie,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týkající se perspektiv dalšího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dlouhodobého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rozvoje 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>DTT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29127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ČR</w:t>
      </w:r>
      <w:r w:rsidR="00C1717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Také se ukazuje, že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hlediska bezplatného šíření </w:t>
      </w:r>
      <w:r w:rsidR="006466B5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(a ekonomiky běžných domácností)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TV není dosud na trhu obecně dostupný substitut DTT. To vše se promítá do stále 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významné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pozice platformy bezplatného televizního vysílání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nutnosti jejího zachování </w:t>
      </w:r>
      <w:r w:rsidR="00915C4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nejméně ve stávajícím rozsahu</w:t>
      </w:r>
      <w:r w:rsidR="00E242DF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celoplošných vysílacích sítí</w:t>
      </w:r>
      <w:r w:rsidR="00915C41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79303D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delší časové perspektivě. 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Otevřenou otázkou po dokončení přechodu je doplnění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doladění kvalitního pokrytí jednotlivých finálních sítí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 xml:space="preserve">rámci velkých </w:t>
      </w:r>
      <w:proofErr w:type="spellStart"/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jednofrekvenčních</w:t>
      </w:r>
      <w:proofErr w:type="spellEnd"/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 xml:space="preserve"> sítích</w:t>
      </w:r>
      <w:r w:rsidR="009B36F9" w:rsidRPr="00454AC3">
        <w:rPr>
          <w:rFonts w:ascii="Arial" w:hAnsi="Arial" w:cs="Arial"/>
          <w:color w:val="000000" w:themeColor="text1"/>
          <w:sz w:val="24"/>
          <w:szCs w:val="24"/>
        </w:rPr>
        <w:t xml:space="preserve"> na základě dlouhodobého provozu. Jde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9B36F9" w:rsidRPr="00454AC3">
        <w:rPr>
          <w:rFonts w:ascii="Arial" w:hAnsi="Arial" w:cs="Arial"/>
          <w:color w:val="000000" w:themeColor="text1"/>
          <w:sz w:val="24"/>
          <w:szCs w:val="24"/>
        </w:rPr>
        <w:t xml:space="preserve">kvalitu, robustnost pokrytí 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místních podmínkách, zejména se jedná o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určité lokální problémy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>pohraničních či horských oblastech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929C1" w:rsidRPr="00454AC3">
        <w:rPr>
          <w:rFonts w:ascii="Arial" w:hAnsi="Arial" w:cs="Arial"/>
          <w:color w:val="000000" w:themeColor="text1"/>
          <w:sz w:val="24"/>
          <w:szCs w:val="24"/>
        </w:rPr>
        <w:t xml:space="preserve">lokalitách pokrytých několika vysílači na stejném kmitočtu. </w:t>
      </w:r>
    </w:p>
    <w:p w14:paraId="7FB1A00B" w14:textId="16615F6C" w:rsidR="001929C1" w:rsidRPr="00454AC3" w:rsidRDefault="001929C1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Z hlediska dostupnosti televizního signálu všech stávajících televizních stanic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rámci platformy DTT (pokrytí vysílacích sítí je vyšší 99</w:t>
      </w:r>
      <w:r w:rsidR="790358EE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%) nebylo </w:t>
      </w:r>
      <w:r w:rsidR="009B36F9" w:rsidRPr="00454AC3">
        <w:rPr>
          <w:rFonts w:ascii="Arial" w:hAnsi="Arial" w:cs="Arial"/>
          <w:color w:val="000000" w:themeColor="text1"/>
          <w:sz w:val="24"/>
          <w:szCs w:val="24"/>
        </w:rPr>
        <w:t xml:space="preserve">tedy </w:t>
      </w:r>
      <w:r w:rsidR="00033DED" w:rsidRPr="00454AC3">
        <w:rPr>
          <w:rFonts w:ascii="Arial" w:hAnsi="Arial" w:cs="Arial"/>
          <w:color w:val="000000" w:themeColor="text1"/>
          <w:sz w:val="24"/>
          <w:szCs w:val="24"/>
        </w:rPr>
        <w:t>dosud</w:t>
      </w:r>
      <w:r w:rsidR="00033DED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nutno řešit problémy, týkající se velkých území, ale jen lokální problémy, které je možno řešit postupně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využitím místních vysílačů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454AC3">
        <w:rPr>
          <w:rFonts w:ascii="Arial" w:hAnsi="Arial" w:cs="Arial"/>
          <w:color w:val="000000" w:themeColor="text1"/>
          <w:sz w:val="24"/>
          <w:szCs w:val="24"/>
        </w:rPr>
        <w:t>dokrývačů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závislosti na dostupnosti rádiového spektra</w:t>
      </w:r>
      <w:r w:rsidR="00BC5083" w:rsidRPr="00454AC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BC5083" w:rsidRPr="00454AC3">
        <w:rPr>
          <w:rFonts w:ascii="Arial" w:hAnsi="Arial" w:cs="Arial"/>
          <w:color w:val="000000" w:themeColor="text1"/>
          <w:sz w:val="24"/>
          <w:szCs w:val="24"/>
        </w:rPr>
        <w:t>srv</w:t>
      </w:r>
      <w:proofErr w:type="spellEnd"/>
      <w:r w:rsidR="00EA36F2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BC5083" w:rsidRPr="00454AC3">
        <w:rPr>
          <w:rFonts w:ascii="Arial" w:hAnsi="Arial" w:cs="Arial"/>
          <w:color w:val="000000" w:themeColor="text1"/>
          <w:sz w:val="24"/>
          <w:szCs w:val="24"/>
        </w:rPr>
        <w:t xml:space="preserve"> Příloha část 2.)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C55B1F7" w14:textId="070409A7" w:rsidR="001929C1" w:rsidRPr="00454AC3" w:rsidRDefault="001929C1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Zkušenosti se sestavením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realizací TPP jednoznačně ukazuje, že přechod na DVB-T2 vysílání, spojený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454AC3">
        <w:rPr>
          <w:rFonts w:ascii="Arial" w:hAnsi="Arial" w:cs="Arial"/>
          <w:color w:val="000000" w:themeColor="text1"/>
          <w:sz w:val="24"/>
          <w:szCs w:val="24"/>
        </w:rPr>
        <w:t>reengeneeringem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sítí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masivním využitím rozsáhlých sítí SFN, vede obecně na významně vyšší efektivitu využití disponibilního rádiového spektra, přestože důsledkem jsou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některé zmíněné problémy. Takový postup umožnil provést včasné uvolnění rádiových kmitočtů pásma 700 MHz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jejich následné využití pro mobilní </w:t>
      </w:r>
      <w:r w:rsidR="01517FCB" w:rsidRPr="00454AC3">
        <w:rPr>
          <w:rFonts w:ascii="Arial" w:hAnsi="Arial" w:cs="Arial"/>
          <w:color w:val="000000" w:themeColor="text1"/>
          <w:sz w:val="24"/>
          <w:szCs w:val="24"/>
        </w:rPr>
        <w:t>datové služby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2BC2C8" w14:textId="51D4F2BF" w:rsidR="001929C1" w:rsidRPr="00454AC3" w:rsidRDefault="001929C1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Z hlediska správy rádiového spektra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zajištění co nejvyššího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kvalitního pokrytí obyvatel signálem zemského televizního vysílání 4 vysílacích sítí DVB-T2 (tj. sítě 21-24) je </w:t>
      </w:r>
      <w:r w:rsidR="0053640E" w:rsidRPr="00454AC3">
        <w:rPr>
          <w:rFonts w:ascii="Arial" w:hAnsi="Arial" w:cs="Arial"/>
          <w:color w:val="000000" w:themeColor="text1"/>
          <w:sz w:val="24"/>
          <w:szCs w:val="24"/>
        </w:rPr>
        <w:t xml:space="preserve">vhodné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zajistit doplnění mezinárodně </w:t>
      </w:r>
      <w:proofErr w:type="spellStart"/>
      <w:r w:rsidRPr="00454AC3">
        <w:rPr>
          <w:rFonts w:ascii="Arial" w:hAnsi="Arial" w:cs="Arial"/>
          <w:color w:val="000000" w:themeColor="text1"/>
          <w:sz w:val="24"/>
          <w:szCs w:val="24"/>
        </w:rPr>
        <w:t>zkoordinovatelných</w:t>
      </w:r>
      <w:proofErr w:type="spellEnd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rádiových kmitočtů pro řešení lokálních problémů celoplošných vysílacích sítí. </w:t>
      </w:r>
    </w:p>
    <w:p w14:paraId="247688A5" w14:textId="62E93528" w:rsidR="001929C1" w:rsidRPr="00454AC3" w:rsidRDefault="001929C1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Při rozhodování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možnosti dalšího využití kmitočtů bylo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je nejprve nutno 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004E8B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v budoucím období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vzít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úvahu požadavky stávajících operátorů celoplošných vysílacích sítí 21–24 (a příslušných provozovatelů televizního vysílání, jejichž šíření na celém území ČR tyto sítě zajišťují) na realizaci vysílačů malého výkonu</w:t>
      </w:r>
      <w:r w:rsidR="009B36F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.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83445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Jde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zejména </w:t>
      </w:r>
      <w:r w:rsidR="0083445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vysílače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výkonem do 1 kW, využívané pro dokrytí lokalit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nedostatečným rozsahem pokrytí signálem vysílačů velkého výkonu</w:t>
      </w:r>
      <w:r w:rsidR="0083445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nebo pro eliminaci lokálních problémů spojených se samorušením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="0083445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sítích SFN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</w:t>
      </w:r>
    </w:p>
    <w:p w14:paraId="51B42E9C" w14:textId="3EC8D52B" w:rsidR="000D5FAE" w:rsidRPr="00454AC3" w:rsidRDefault="136310D2" w:rsidP="161AA48C">
      <w:pPr>
        <w:pStyle w:val="Odstavecseseznamem2"/>
        <w:spacing w:after="240" w:line="276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54AC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Regionální televizní vysílání</w:t>
      </w:r>
      <w:r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75C7641C" w14:textId="630F3116" w:rsidR="000D5FAE" w:rsidRPr="00454AC3" w:rsidRDefault="000D5FAE" w:rsidP="000D5FAE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Při zahájení přechodu na DVB-T2 bylo v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provozu, mimo 4 celoplošných vysílacích sítí DVB-T, také 19 komerčních regionálních vysílacích sítí, provozovaných na základě vydaných individuálních oprávnění</w:t>
      </w:r>
      <w:r w:rsidR="406BD8E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, které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406BD8ED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době vydání měly</w:t>
      </w:r>
      <w:r w:rsidR="48C937EF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platnost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pouze do konce roku 2017).Regionální televizní vysílání je od dokončení přechodu naDVB-T2 podle Strategie řešeno na základě možnosti umístit regionální program ve finální síti 24 (regiony = vyšší územně samosprávné celky, tj. kraje plus hlavní město Praha, celkem 14 oblastí)</w:t>
      </w:r>
      <w:r w:rsidR="00834454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nebo na základě individuálních oprávnění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. Příslušná individuální oprávnění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lastRenderedPageBreak/>
        <w:t>pro regionální vysílání prostřednictvím regionálních vysílačů, resp. regionálních sítí umožňují využívat oba standardy DVB-T i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DVB-T2 podle podnikatelského rozhodnutí provozovatele sítě. Příjem vysílání regionálních sítí ve standardu DVB-T je možný díky zpětné kompatibilitě kodeku DVB-T2. </w:t>
      </w:r>
    </w:p>
    <w:p w14:paraId="233F25D1" w14:textId="1DBEA069" w:rsidR="001929C1" w:rsidRPr="00454AC3" w:rsidRDefault="001929C1" w:rsidP="1E3C83CF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</w:pP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V závěru roku 2020 bylo provozováno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původních 1</w:t>
      </w:r>
      <w:r w:rsidR="00C643EC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9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sítí pouze 12 regionálních sítí. Z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toho pouze 3 sítě (4, 6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12) překračují 10</w:t>
      </w:r>
      <w:r w:rsidR="004844C2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% pokrytí obyvatel signálem – jde o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oblast Prahy a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Středočeského kraje. Pět provozovaných sítí má pokrytí menší </w:t>
      </w:r>
      <w:r w:rsidR="7BC0BEE9" w:rsidRPr="00454AC3">
        <w:rPr>
          <w:rFonts w:ascii="Arial" w:hAnsi="Arial" w:cs="Arial"/>
          <w:color w:val="000000" w:themeColor="text1"/>
          <w:sz w:val="24"/>
          <w:szCs w:val="24"/>
          <w:lang w:eastAsia="cs-CZ"/>
        </w:rPr>
        <w:t>než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1 % obyvatel ČR. Uvedené regionální (či spíše lokální) vysílací sítě ovšem většinou vysílají ve standardu DVB-T (s kodekem MPEG2 nebo MPEG4), který je s</w:t>
      </w:r>
      <w:r w:rsidR="000D3CC9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 </w:t>
      </w:r>
      <w:r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>novými přijímači DVB-T2/HEVC zpětně kompatibilní. Tyto sítě obvykle bezplatně šíří zpravidla 1 signál příslušné regionální televizní stanice.</w:t>
      </w:r>
      <w:r w:rsidR="00455823" w:rsidRPr="00454AC3">
        <w:rPr>
          <w:rFonts w:ascii="Arial" w:hAnsi="Arial" w:cs="Arial"/>
          <w:color w:val="000000" w:themeColor="text1"/>
          <w:spacing w:val="-1"/>
          <w:sz w:val="24"/>
          <w:szCs w:val="24"/>
          <w:lang w:eastAsia="cs-CZ"/>
        </w:rPr>
        <w:t xml:space="preserve"> Z tohoto důvodu představuje regionální vysílání neefektivní využití příslušného rádiového kmitočtu.</w:t>
      </w:r>
      <w:r w:rsidR="00AB6E0F" w:rsidRPr="00454AC3">
        <w:rPr>
          <w:rStyle w:val="Znakapoznpodarou"/>
          <w:rFonts w:ascii="Arial" w:hAnsi="Arial"/>
          <w:color w:val="000000" w:themeColor="text1"/>
          <w:spacing w:val="-1"/>
          <w:sz w:val="24"/>
          <w:szCs w:val="24"/>
          <w:lang w:eastAsia="cs-CZ"/>
        </w:rPr>
        <w:footnoteReference w:id="6"/>
      </w:r>
    </w:p>
    <w:p w14:paraId="19237EAB" w14:textId="1467EF14" w:rsidR="6029081B" w:rsidRPr="00454AC3" w:rsidRDefault="6029081B" w:rsidP="6DFA6652">
      <w:pPr>
        <w:pStyle w:val="Odstavecseseznamem2"/>
        <w:spacing w:after="240" w:line="276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Koordinační expertní skupina</w:t>
      </w:r>
    </w:p>
    <w:p w14:paraId="30FDD3B3" w14:textId="2A62DA87" w:rsidR="002F1B9F" w:rsidRPr="00454AC3" w:rsidRDefault="007845DA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Na MPO koordin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>ovala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práce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zpracováv</w:t>
      </w:r>
      <w:r w:rsidR="00E3053D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 xml:space="preserve">la příslušné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podklady Koordinační expertní skupina (</w:t>
      </w:r>
      <w:r w:rsidR="362514F7" w:rsidRPr="00454AC3">
        <w:rPr>
          <w:rFonts w:ascii="Arial" w:hAnsi="Arial" w:cs="Arial"/>
          <w:color w:val="000000" w:themeColor="text1"/>
          <w:sz w:val="24"/>
          <w:szCs w:val="24"/>
        </w:rPr>
        <w:t xml:space="preserve">dále jen </w:t>
      </w:r>
      <w:r w:rsidR="49C57772" w:rsidRPr="00454AC3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KES</w:t>
      </w:r>
      <w:r w:rsidR="2320875E" w:rsidRPr="00454AC3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), složená se zástupců MPO, MK, ÚOHS, ČTÚ, RRTV</w:t>
      </w:r>
      <w:r w:rsidR="00663CC3" w:rsidRPr="00454AC3">
        <w:rPr>
          <w:rFonts w:ascii="Arial" w:hAnsi="Arial" w:cs="Arial"/>
          <w:color w:val="000000" w:themeColor="text1"/>
          <w:sz w:val="24"/>
          <w:szCs w:val="24"/>
        </w:rPr>
        <w:t>, ČMI, AKČR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dotčených držitelů přídělů rádiových kmitočtů</w:t>
      </w:r>
      <w:r w:rsidR="00CF7895" w:rsidRPr="00454AC3">
        <w:rPr>
          <w:rFonts w:ascii="Arial" w:hAnsi="Arial" w:cs="Arial"/>
          <w:color w:val="000000" w:themeColor="text1"/>
          <w:sz w:val="24"/>
          <w:szCs w:val="24"/>
        </w:rPr>
        <w:t xml:space="preserve"> pro </w:t>
      </w:r>
      <w:r w:rsidR="00433C44" w:rsidRPr="00454AC3">
        <w:rPr>
          <w:rFonts w:ascii="Arial" w:hAnsi="Arial" w:cs="Arial"/>
          <w:color w:val="000000" w:themeColor="text1"/>
          <w:sz w:val="24"/>
          <w:szCs w:val="24"/>
        </w:rPr>
        <w:t xml:space="preserve">celoplošné </w:t>
      </w:r>
      <w:r w:rsidR="00CF7895" w:rsidRPr="00454AC3">
        <w:rPr>
          <w:rFonts w:ascii="Arial" w:hAnsi="Arial" w:cs="Arial"/>
          <w:color w:val="000000" w:themeColor="text1"/>
          <w:sz w:val="24"/>
          <w:szCs w:val="24"/>
        </w:rPr>
        <w:t xml:space="preserve">vysílací sítě digitálního terestrického </w:t>
      </w:r>
      <w:r w:rsidR="000E3FA0" w:rsidRPr="00454AC3">
        <w:rPr>
          <w:rFonts w:ascii="Arial" w:hAnsi="Arial" w:cs="Arial"/>
          <w:color w:val="000000" w:themeColor="text1"/>
          <w:sz w:val="24"/>
          <w:szCs w:val="24"/>
        </w:rPr>
        <w:t xml:space="preserve">televizního </w:t>
      </w:r>
      <w:r w:rsidR="00CF7895" w:rsidRPr="00454AC3">
        <w:rPr>
          <w:rFonts w:ascii="Arial" w:hAnsi="Arial" w:cs="Arial"/>
          <w:color w:val="000000" w:themeColor="text1"/>
          <w:sz w:val="24"/>
          <w:szCs w:val="24"/>
        </w:rPr>
        <w:t>vysílání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>KES zpracováv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 xml:space="preserve">ala </w:t>
      </w:r>
      <w:r w:rsidR="00762E7F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62E7F" w:rsidRPr="00454AC3">
        <w:rPr>
          <w:rFonts w:ascii="Arial" w:hAnsi="Arial" w:cs="Arial"/>
          <w:color w:val="000000" w:themeColor="text1"/>
          <w:sz w:val="24"/>
          <w:szCs w:val="24"/>
        </w:rPr>
        <w:t xml:space="preserve">připravila </w:t>
      </w:r>
      <w:r w:rsidR="00C1717B" w:rsidRPr="00454AC3">
        <w:rPr>
          <w:rFonts w:ascii="Arial" w:hAnsi="Arial" w:cs="Arial"/>
          <w:color w:val="000000" w:themeColor="text1"/>
          <w:sz w:val="24"/>
          <w:szCs w:val="24"/>
        </w:rPr>
        <w:t xml:space="preserve">všechny </w:t>
      </w:r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 xml:space="preserve">základní </w:t>
      </w:r>
      <w:r w:rsidR="00762E7F" w:rsidRPr="00454AC3">
        <w:rPr>
          <w:rFonts w:ascii="Arial" w:hAnsi="Arial" w:cs="Arial"/>
          <w:color w:val="000000" w:themeColor="text1"/>
          <w:sz w:val="24"/>
          <w:szCs w:val="24"/>
        </w:rPr>
        <w:t xml:space="preserve">podkladové </w:t>
      </w:r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 xml:space="preserve">materiály, týkající se realizace Strategie rozvoje zemského televizního vysílání, vč. přípravy novel právního rámce, </w:t>
      </w:r>
      <w:r w:rsidR="00663CC3" w:rsidRPr="00454AC3">
        <w:rPr>
          <w:rFonts w:ascii="Arial" w:hAnsi="Arial" w:cs="Arial"/>
          <w:color w:val="000000" w:themeColor="text1"/>
          <w:sz w:val="24"/>
          <w:szCs w:val="24"/>
        </w:rPr>
        <w:t>TPP</w:t>
      </w:r>
      <w:r w:rsidR="00D2587A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>prenotifikační</w:t>
      </w:r>
      <w:r w:rsidR="00C33000" w:rsidRPr="00454AC3">
        <w:rPr>
          <w:rFonts w:ascii="Arial" w:hAnsi="Arial" w:cs="Arial"/>
          <w:color w:val="000000" w:themeColor="text1"/>
          <w:sz w:val="24"/>
          <w:szCs w:val="24"/>
        </w:rPr>
        <w:t>ho</w:t>
      </w:r>
      <w:proofErr w:type="spellEnd"/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3000" w:rsidRPr="00454AC3">
        <w:rPr>
          <w:rFonts w:ascii="Arial" w:hAnsi="Arial" w:cs="Arial"/>
          <w:color w:val="000000" w:themeColor="text1"/>
          <w:sz w:val="24"/>
          <w:szCs w:val="24"/>
        </w:rPr>
        <w:t>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 xml:space="preserve">notifikačních </w:t>
      </w:r>
      <w:r w:rsidR="00C7164F" w:rsidRPr="00454AC3">
        <w:rPr>
          <w:rFonts w:ascii="Arial" w:hAnsi="Arial" w:cs="Arial"/>
          <w:color w:val="000000" w:themeColor="text1"/>
          <w:sz w:val="24"/>
          <w:szCs w:val="24"/>
        </w:rPr>
        <w:t>řízení</w:t>
      </w:r>
      <w:r w:rsidR="0030232A" w:rsidRPr="00454AC3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30232A" w:rsidRPr="00454AC3">
        <w:rPr>
          <w:rFonts w:ascii="Arial" w:hAnsi="Arial" w:cs="Arial"/>
          <w:color w:val="000000" w:themeColor="text1"/>
          <w:sz w:val="24"/>
          <w:szCs w:val="24"/>
        </w:rPr>
        <w:t>Evropské komise</w:t>
      </w:r>
      <w:r w:rsidR="001E3258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0F136E8" w:rsidRPr="00454AC3">
        <w:rPr>
          <w:rFonts w:ascii="Arial" w:hAnsi="Arial" w:cs="Arial"/>
          <w:color w:val="000000" w:themeColor="text1"/>
          <w:sz w:val="24"/>
          <w:szCs w:val="24"/>
        </w:rPr>
        <w:t xml:space="preserve"> KES se 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>rámci realizace přechodu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>období 2016-2020</w:t>
      </w:r>
      <w:r w:rsidR="00F136E8" w:rsidRPr="00454AC3">
        <w:rPr>
          <w:rFonts w:ascii="Arial" w:hAnsi="Arial" w:cs="Arial"/>
          <w:color w:val="000000" w:themeColor="text1"/>
          <w:sz w:val="24"/>
          <w:szCs w:val="24"/>
        </w:rPr>
        <w:t xml:space="preserve"> sešla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F136E8" w:rsidRPr="00454AC3">
        <w:rPr>
          <w:rFonts w:ascii="Arial" w:hAnsi="Arial" w:cs="Arial"/>
          <w:color w:val="000000" w:themeColor="text1"/>
          <w:sz w:val="24"/>
          <w:szCs w:val="24"/>
        </w:rPr>
        <w:t xml:space="preserve">jednala na 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 xml:space="preserve">více </w:t>
      </w:r>
      <w:r w:rsidR="10A983CD" w:rsidRPr="00454AC3">
        <w:rPr>
          <w:rFonts w:ascii="Arial" w:hAnsi="Arial" w:cs="Arial"/>
          <w:color w:val="000000" w:themeColor="text1"/>
          <w:sz w:val="24"/>
          <w:szCs w:val="24"/>
        </w:rPr>
        <w:t>než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 xml:space="preserve"> 50</w:t>
      </w:r>
      <w:r w:rsidR="00F136E8" w:rsidRPr="00454AC3">
        <w:rPr>
          <w:rFonts w:ascii="Arial" w:hAnsi="Arial" w:cs="Arial"/>
          <w:color w:val="000000" w:themeColor="text1"/>
          <w:sz w:val="24"/>
          <w:szCs w:val="24"/>
        </w:rPr>
        <w:t xml:space="preserve"> zasedání</w:t>
      </w:r>
      <w:r w:rsidR="00495565" w:rsidRPr="00454AC3">
        <w:rPr>
          <w:rFonts w:ascii="Arial" w:hAnsi="Arial" w:cs="Arial"/>
          <w:color w:val="000000" w:themeColor="text1"/>
          <w:sz w:val="24"/>
          <w:szCs w:val="24"/>
        </w:rPr>
        <w:t>ch</w:t>
      </w:r>
      <w:r w:rsidR="00A66165" w:rsidRPr="00454AC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02ACE2" w14:textId="7FCE8629" w:rsidR="0087421C" w:rsidRPr="00454AC3" w:rsidRDefault="0087421C" w:rsidP="6DFA665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Otevřené otázky realizace Strategie rozvoje zemského televizního vysílání</w:t>
      </w:r>
    </w:p>
    <w:p w14:paraId="326321B4" w14:textId="4769A165" w:rsidR="0087421C" w:rsidRPr="00454AC3" w:rsidRDefault="0087421C" w:rsidP="006479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4366936"/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 hlediska </w:t>
      </w:r>
      <w:r w:rsidR="21163630" w:rsidRPr="00454AC3">
        <w:rPr>
          <w:rFonts w:ascii="Arial" w:hAnsi="Arial" w:cs="Arial"/>
          <w:color w:val="000000" w:themeColor="text1"/>
          <w:sz w:val="24"/>
          <w:szCs w:val="24"/>
        </w:rPr>
        <w:t xml:space="preserve">realizace </w:t>
      </w:r>
      <w:r w:rsidR="004844C2" w:rsidRPr="00454AC3">
        <w:rPr>
          <w:rFonts w:ascii="Arial" w:hAnsi="Arial" w:cs="Arial"/>
          <w:color w:val="000000" w:themeColor="text1"/>
          <w:sz w:val="24"/>
          <w:szCs w:val="24"/>
        </w:rPr>
        <w:t>Strategie zůstávají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pro nadcházejí období otevřen</w:t>
      </w:r>
      <w:r w:rsidR="7C41393D" w:rsidRPr="00454AC3">
        <w:rPr>
          <w:rFonts w:ascii="Arial" w:hAnsi="Arial" w:cs="Arial"/>
          <w:color w:val="000000" w:themeColor="text1"/>
          <w:sz w:val="24"/>
          <w:szCs w:val="24"/>
        </w:rPr>
        <w:t>á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zejména následující 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 xml:space="preserve">témata, která by se měla promítnout do </w:t>
      </w:r>
      <w:r w:rsidR="00794DDE" w:rsidRPr="00454AC3">
        <w:rPr>
          <w:rFonts w:ascii="Arial" w:hAnsi="Arial" w:cs="Arial"/>
          <w:color w:val="000000" w:themeColor="text1"/>
          <w:sz w:val="24"/>
          <w:szCs w:val="24"/>
        </w:rPr>
        <w:t>dalšího postup</w:t>
      </w:r>
      <w:r w:rsidR="49C3E4D0" w:rsidRPr="00454AC3">
        <w:rPr>
          <w:rFonts w:ascii="Arial" w:hAnsi="Arial" w:cs="Arial"/>
          <w:color w:val="000000" w:themeColor="text1"/>
          <w:sz w:val="24"/>
          <w:szCs w:val="24"/>
        </w:rPr>
        <w:t>u</w:t>
      </w:r>
      <w:r w:rsidR="00794DDE" w:rsidRPr="00454AC3">
        <w:rPr>
          <w:rFonts w:ascii="Arial" w:hAnsi="Arial" w:cs="Arial"/>
          <w:color w:val="000000" w:themeColor="text1"/>
          <w:sz w:val="24"/>
          <w:szCs w:val="24"/>
        </w:rPr>
        <w:t xml:space="preserve"> realizace </w:t>
      </w:r>
      <w:r w:rsidR="00834454"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DF9A22B" w:rsidRPr="00454AC3">
        <w:rPr>
          <w:rFonts w:ascii="Arial" w:hAnsi="Arial" w:cs="Arial"/>
          <w:color w:val="000000" w:themeColor="text1"/>
          <w:sz w:val="24"/>
          <w:szCs w:val="24"/>
        </w:rPr>
        <w:t>rámci</w:t>
      </w:r>
      <w:r w:rsidR="00794DDE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0821555" w:rsidRPr="00454AC3">
        <w:rPr>
          <w:rFonts w:ascii="Arial" w:hAnsi="Arial" w:cs="Arial"/>
          <w:color w:val="000000" w:themeColor="text1"/>
          <w:sz w:val="24"/>
          <w:szCs w:val="24"/>
        </w:rPr>
        <w:t xml:space="preserve">případné </w:t>
      </w:r>
      <w:r w:rsidR="00794DDE"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>ktualiz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>ace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 xml:space="preserve"> Strategie </w:t>
      </w:r>
      <w:r w:rsidR="0DFD7827" w:rsidRPr="00454AC3">
        <w:rPr>
          <w:rFonts w:ascii="Arial" w:hAnsi="Arial" w:cs="Arial"/>
          <w:color w:val="000000" w:themeColor="text1"/>
          <w:sz w:val="24"/>
          <w:szCs w:val="24"/>
        </w:rPr>
        <w:t xml:space="preserve">nebo </w:t>
      </w:r>
      <w:r w:rsidR="49639ECE" w:rsidRPr="00454AC3">
        <w:rPr>
          <w:rFonts w:ascii="Arial" w:hAnsi="Arial" w:cs="Arial"/>
          <w:color w:val="000000" w:themeColor="text1"/>
          <w:sz w:val="24"/>
          <w:szCs w:val="24"/>
        </w:rPr>
        <w:t xml:space="preserve">vhodná opatření </w:t>
      </w:r>
      <w:r w:rsidR="0DFD7827" w:rsidRPr="00454AC3">
        <w:rPr>
          <w:rFonts w:ascii="Arial" w:hAnsi="Arial" w:cs="Arial"/>
          <w:color w:val="000000" w:themeColor="text1"/>
          <w:sz w:val="24"/>
          <w:szCs w:val="24"/>
        </w:rPr>
        <w:t>stanovit jinou formou</w:t>
      </w:r>
      <w:r w:rsidR="74C4B3D8" w:rsidRPr="00454AC3">
        <w:rPr>
          <w:rFonts w:ascii="Arial" w:hAnsi="Arial" w:cs="Arial"/>
          <w:color w:val="000000" w:themeColor="text1"/>
          <w:sz w:val="24"/>
          <w:szCs w:val="24"/>
        </w:rPr>
        <w:t>.</w:t>
      </w:r>
      <w:r w:rsidR="0DFD7827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58D73CD0" w14:textId="107CD21A" w:rsidR="0086569E" w:rsidRPr="00454AC3" w:rsidRDefault="0086569E" w:rsidP="0064796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Vyhodnotit provoz (vč</w:t>
      </w:r>
      <w:r w:rsidR="42C3FEE8" w:rsidRPr="00454AC3">
        <w:rPr>
          <w:rFonts w:ascii="Arial" w:hAnsi="Arial" w:cs="Arial"/>
          <w:color w:val="000000" w:themeColor="text1"/>
          <w:sz w:val="24"/>
          <w:szCs w:val="24"/>
        </w:rPr>
        <w:t>etně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kvality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robustnosti pokrytí) stávajících celoplošných 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vysílacích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sítí určených pro zemské digitální televizní vysílání na základě jejich dlouhodobějšího</w:t>
      </w:r>
      <w:r w:rsidR="5AC2A0B1" w:rsidRPr="00454AC3">
        <w:rPr>
          <w:rFonts w:ascii="Arial" w:hAnsi="Arial" w:cs="Arial"/>
          <w:color w:val="000000" w:themeColor="text1"/>
          <w:sz w:val="24"/>
          <w:szCs w:val="24"/>
        </w:rPr>
        <w:t>/dlouhodobého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provozu (tj. </w:t>
      </w:r>
      <w:r w:rsidR="00794DDE" w:rsidRPr="00454AC3">
        <w:rPr>
          <w:rFonts w:ascii="Arial" w:hAnsi="Arial" w:cs="Arial"/>
          <w:color w:val="000000" w:themeColor="text1"/>
          <w:sz w:val="24"/>
          <w:szCs w:val="24"/>
        </w:rPr>
        <w:t xml:space="preserve">nejméně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794DDE" w:rsidRPr="00454AC3">
        <w:rPr>
          <w:rFonts w:ascii="Arial" w:hAnsi="Arial" w:cs="Arial"/>
          <w:color w:val="000000" w:themeColor="text1"/>
          <w:sz w:val="24"/>
          <w:szCs w:val="24"/>
        </w:rPr>
        <w:t xml:space="preserve">období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2021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2022), vč. návrhů na doplnění využívaných rádiových kanálů. </w:t>
      </w:r>
    </w:p>
    <w:p w14:paraId="36568897" w14:textId="0AD2D973" w:rsidR="0086569E" w:rsidRPr="00454AC3" w:rsidRDefault="00677FD4" w:rsidP="0064796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Ověřit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 xml:space="preserve">řipravit koncepci </w:t>
      </w:r>
      <w:proofErr w:type="spellStart"/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>refarmingu</w:t>
      </w:r>
      <w:proofErr w:type="spellEnd"/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 xml:space="preserve"> stávajících celoplošných sítí určených pro zemské digitální televizní vysílání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>případě různých variant využití pásma 470 až 692 MHz na základě studií dopadů možných výsledků Světové radiokomunikační konference 2023, resp. dalších jednání na úrovni ITU či EU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 ve vztahu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>harmonizaci využití rádiového spektra po roce 2030</w:t>
      </w:r>
      <w:r w:rsidR="0086569E"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0C2DE33" w14:textId="0183B547" w:rsidR="0086569E" w:rsidRPr="00454AC3" w:rsidRDefault="0086569E" w:rsidP="00647966">
      <w:pPr>
        <w:pStyle w:val="Odstavecseseznamem"/>
        <w:numPr>
          <w:ilvl w:val="0"/>
          <w:numId w:val="15"/>
        </w:numPr>
        <w:spacing w:after="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Vyhodnotit možnost efektivního využití rádiového spektra pásmu 470 až 692 MHz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závislosti na požadavcích na přenosovou kapacitu různého typu 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(celoplošné, </w:t>
      </w:r>
      <w:r w:rsidR="3A5ECFB2" w:rsidRPr="00454AC3">
        <w:rPr>
          <w:rFonts w:ascii="Arial" w:hAnsi="Arial" w:cs="Arial"/>
          <w:color w:val="000000" w:themeColor="text1"/>
          <w:sz w:val="24"/>
          <w:szCs w:val="24"/>
        </w:rPr>
        <w:t xml:space="preserve">regionální, 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lokální, vysílání, strategické záměry rozvoje médií)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možnosti reálných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dostupných substitutů zemského digitálního televizního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lastRenderedPageBreak/>
        <w:t>vysílání. Postupně připravit navazující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časově podmíněné kroky vztažené na ostatní opatření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7D9150E7" w:rsidRPr="00454AC3">
        <w:rPr>
          <w:rFonts w:ascii="Arial" w:hAnsi="Arial" w:cs="Arial"/>
          <w:color w:val="000000" w:themeColor="text1"/>
          <w:sz w:val="24"/>
          <w:szCs w:val="24"/>
        </w:rPr>
        <w:t>případně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7D9150E7" w:rsidRPr="00454AC3">
        <w:rPr>
          <w:rFonts w:ascii="Arial" w:hAnsi="Arial" w:cs="Arial"/>
          <w:color w:val="000000" w:themeColor="text1"/>
          <w:sz w:val="24"/>
          <w:szCs w:val="24"/>
        </w:rPr>
        <w:t>formou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 aktualizované Strategie</w:t>
      </w:r>
      <w:r w:rsidR="00AB6E0F" w:rsidRPr="00454AC3">
        <w:rPr>
          <w:rFonts w:ascii="Arial" w:hAnsi="Arial" w:cs="Arial"/>
          <w:color w:val="000000" w:themeColor="text1"/>
          <w:sz w:val="24"/>
          <w:szCs w:val="24"/>
        </w:rPr>
        <w:t>, vč. využití všech dosud mezinárodně zkoordinovaných rádiových kmitočtů.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44D6A5" w14:textId="3CD6A9A6" w:rsidR="0086569E" w:rsidRPr="00454AC3" w:rsidRDefault="0086569E" w:rsidP="00647966">
      <w:pPr>
        <w:pStyle w:val="Odstavecseseznamem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Na mezinárodních jednání k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využití rádiového spektra</w:t>
      </w:r>
      <w:r w:rsidR="309FDF5D" w:rsidRPr="00454AC3">
        <w:rPr>
          <w:rFonts w:ascii="Arial" w:eastAsia="Arial" w:hAnsi="Arial" w:cs="Arial"/>
          <w:color w:val="000000" w:themeColor="text1"/>
          <w:sz w:val="24"/>
          <w:szCs w:val="24"/>
        </w:rPr>
        <w:t xml:space="preserve"> 470 až 692 MHz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prosazovat udržení platformy zemského digitálního televizního vysílání </w:t>
      </w:r>
      <w:r w:rsidR="00834454" w:rsidRPr="00454AC3">
        <w:rPr>
          <w:rFonts w:ascii="Arial" w:hAnsi="Arial" w:cs="Arial"/>
          <w:color w:val="000000" w:themeColor="text1"/>
          <w:sz w:val="24"/>
          <w:szCs w:val="24"/>
        </w:rPr>
        <w:t>do roku 2030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00834454" w:rsidRPr="00454AC3">
        <w:rPr>
          <w:rFonts w:ascii="Arial" w:hAnsi="Arial" w:cs="Arial"/>
          <w:color w:val="000000" w:themeColor="text1"/>
          <w:sz w:val="24"/>
          <w:szCs w:val="24"/>
        </w:rPr>
        <w:t xml:space="preserve">návazně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za horizont roku 2030, což by se mělo týkat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pásma 600 MHz, přičemž by se mělo zohlednit využívání zemského vysílání obyvateli</w:t>
      </w:r>
      <w:r w:rsidR="38CCBB63" w:rsidRPr="00454AC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případný strategický záměr rozvoje médií (televizního vysílání)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ČR</w:t>
      </w:r>
      <w:r w:rsidR="7EAF828A" w:rsidRPr="00454AC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9263108" w:rsidRPr="00454AC3">
        <w:rPr>
          <w:rFonts w:ascii="Arial" w:hAnsi="Arial" w:cs="Arial"/>
          <w:color w:val="000000" w:themeColor="text1"/>
          <w:sz w:val="24"/>
          <w:szCs w:val="24"/>
        </w:rPr>
        <w:t>rovněž</w:t>
      </w:r>
      <w:r w:rsidR="548ADF54" w:rsidRPr="00454AC3">
        <w:rPr>
          <w:rFonts w:ascii="Arial" w:hAnsi="Arial" w:cs="Arial"/>
          <w:color w:val="000000" w:themeColor="text1"/>
          <w:sz w:val="24"/>
          <w:szCs w:val="24"/>
        </w:rPr>
        <w:t xml:space="preserve"> vzít </w:t>
      </w:r>
      <w:r w:rsidR="2B6C4704" w:rsidRPr="00454AC3">
        <w:rPr>
          <w:rFonts w:ascii="Arial" w:hAnsi="Arial" w:cs="Arial"/>
          <w:color w:val="000000" w:themeColor="text1"/>
          <w:sz w:val="24"/>
          <w:szCs w:val="24"/>
        </w:rPr>
        <w:t>do</w:t>
      </w:r>
      <w:r w:rsidR="548ADF54" w:rsidRPr="00454AC3">
        <w:rPr>
          <w:rFonts w:ascii="Arial" w:hAnsi="Arial" w:cs="Arial"/>
          <w:color w:val="000000" w:themeColor="text1"/>
          <w:sz w:val="24"/>
          <w:szCs w:val="24"/>
        </w:rPr>
        <w:t xml:space="preserve"> úvah</w:t>
      </w:r>
      <w:r w:rsidR="088789AE" w:rsidRPr="00454AC3">
        <w:rPr>
          <w:rFonts w:ascii="Arial" w:hAnsi="Arial" w:cs="Arial"/>
          <w:color w:val="000000" w:themeColor="text1"/>
          <w:sz w:val="24"/>
          <w:szCs w:val="24"/>
        </w:rPr>
        <w:t>y</w:t>
      </w:r>
      <w:r w:rsidR="548ADF54" w:rsidRPr="00454AC3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548ADF54" w:rsidRPr="00454AC3">
        <w:rPr>
          <w:rFonts w:ascii="Arial" w:hAnsi="Arial" w:cs="Arial"/>
          <w:color w:val="000000" w:themeColor="text1"/>
          <w:sz w:val="24"/>
          <w:szCs w:val="24"/>
        </w:rPr>
        <w:t xml:space="preserve">vazbu na </w:t>
      </w:r>
      <w:r w:rsidR="7EAF828A" w:rsidRPr="00454AC3">
        <w:rPr>
          <w:rFonts w:ascii="Arial" w:hAnsi="Arial" w:cs="Arial"/>
          <w:color w:val="000000" w:themeColor="text1"/>
          <w:sz w:val="24"/>
          <w:szCs w:val="24"/>
        </w:rPr>
        <w:t>kritickou infrastrukturu</w:t>
      </w:r>
      <w:r w:rsidR="56471169" w:rsidRPr="00454AC3">
        <w:rPr>
          <w:rFonts w:ascii="Arial" w:hAnsi="Arial" w:cs="Arial"/>
          <w:color w:val="000000" w:themeColor="text1"/>
          <w:sz w:val="24"/>
          <w:szCs w:val="24"/>
        </w:rPr>
        <w:t xml:space="preserve"> státu s</w:t>
      </w:r>
      <w:r w:rsidR="7EAF828A" w:rsidRPr="00454AC3">
        <w:rPr>
          <w:rFonts w:ascii="Arial" w:hAnsi="Arial" w:cs="Arial"/>
          <w:color w:val="000000" w:themeColor="text1"/>
          <w:sz w:val="24"/>
          <w:szCs w:val="24"/>
        </w:rPr>
        <w:t xml:space="preserve">e zdůrazněním </w:t>
      </w:r>
      <w:r w:rsidR="2C8AF11B" w:rsidRPr="00454AC3">
        <w:rPr>
          <w:rFonts w:ascii="Arial" w:hAnsi="Arial" w:cs="Arial"/>
          <w:color w:val="000000" w:themeColor="text1"/>
          <w:sz w:val="24"/>
          <w:szCs w:val="24"/>
        </w:rPr>
        <w:t xml:space="preserve">témat souvisejících </w:t>
      </w:r>
      <w:r w:rsidR="37FBDE30" w:rsidRPr="00454AC3">
        <w:rPr>
          <w:rFonts w:ascii="Arial" w:hAnsi="Arial" w:cs="Arial"/>
          <w:color w:val="000000" w:themeColor="text1"/>
          <w:sz w:val="24"/>
          <w:szCs w:val="24"/>
        </w:rPr>
        <w:t>p</w:t>
      </w:r>
      <w:r w:rsidR="33591FCB" w:rsidRPr="00454AC3">
        <w:rPr>
          <w:rFonts w:ascii="Arial" w:hAnsi="Arial" w:cs="Arial"/>
          <w:color w:val="000000" w:themeColor="text1"/>
          <w:sz w:val="24"/>
          <w:szCs w:val="24"/>
        </w:rPr>
        <w:t xml:space="preserve">ředevším </w:t>
      </w:r>
      <w:r w:rsidR="5E0D0CDB" w:rsidRPr="00454AC3">
        <w:rPr>
          <w:rFonts w:ascii="Arial" w:hAnsi="Arial" w:cs="Arial"/>
          <w:color w:val="000000" w:themeColor="text1"/>
          <w:sz w:val="24"/>
          <w:szCs w:val="24"/>
        </w:rPr>
        <w:t>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="33591FCB" w:rsidRPr="00454AC3">
        <w:rPr>
          <w:rFonts w:ascii="Arial" w:hAnsi="Arial" w:cs="Arial"/>
          <w:color w:val="000000" w:themeColor="text1"/>
          <w:sz w:val="24"/>
          <w:szCs w:val="24"/>
        </w:rPr>
        <w:t>oblast</w:t>
      </w:r>
      <w:r w:rsidR="76359A12" w:rsidRPr="00454AC3">
        <w:rPr>
          <w:rFonts w:ascii="Arial" w:hAnsi="Arial" w:cs="Arial"/>
          <w:color w:val="000000" w:themeColor="text1"/>
          <w:sz w:val="24"/>
          <w:szCs w:val="24"/>
        </w:rPr>
        <w:t>í</w:t>
      </w:r>
      <w:r w:rsidR="33591FCB" w:rsidRPr="00454AC3">
        <w:rPr>
          <w:rFonts w:ascii="Arial" w:hAnsi="Arial" w:cs="Arial"/>
          <w:color w:val="000000" w:themeColor="text1"/>
          <w:sz w:val="24"/>
          <w:szCs w:val="24"/>
        </w:rPr>
        <w:t xml:space="preserve"> kybernetické bezpečnosti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FEB6509" w14:textId="52059AA3" w:rsidR="0086569E" w:rsidRPr="00454AC3" w:rsidRDefault="0086569E" w:rsidP="0064796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>V návaznosti na rozvoj mobilních sítí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pásmu 700 MHz pokračovat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zajišťování 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>kontroly a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minimalizac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>e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rušení celoplošných sítí určených pro zemské digitální televizní vysílání, tj. aplikace dosavadních postupů, příp. návrh dalších efektivních kroků v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období výstavby mobilních sítí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využitím pásma 700 MHz (těsně sousedícího z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hlediska rádiových kanálů s</w:t>
      </w:r>
      <w:r w:rsidR="000D3CC9" w:rsidRPr="00454AC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vysílacími sítěmi DTT).</w:t>
      </w:r>
    </w:p>
    <w:p w14:paraId="0BFA704D" w14:textId="6C6DEDF7" w:rsidR="00455823" w:rsidRPr="00454AC3" w:rsidRDefault="0086569E" w:rsidP="0064796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Dokončit notifikační řízení 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 xml:space="preserve">zbývajících kompenzací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vztahující</w:t>
      </w:r>
      <w:r w:rsidR="00DB08FB" w:rsidRPr="00454AC3">
        <w:rPr>
          <w:rFonts w:ascii="Arial" w:hAnsi="Arial" w:cs="Arial"/>
          <w:color w:val="000000" w:themeColor="text1"/>
          <w:sz w:val="24"/>
          <w:szCs w:val="24"/>
        </w:rPr>
        <w:t>ch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 xml:space="preserve"> se na proces přechodu na DVB-T2, resp. uvolnění pásma 700 MHz </w:t>
      </w:r>
      <w:r w:rsidR="68A3200A" w:rsidRPr="00454AC3">
        <w:rPr>
          <w:rFonts w:ascii="Arial" w:hAnsi="Arial" w:cs="Arial"/>
          <w:color w:val="000000" w:themeColor="text1"/>
          <w:sz w:val="24"/>
          <w:szCs w:val="24"/>
        </w:rPr>
        <w:t xml:space="preserve">pro </w:t>
      </w:r>
      <w:r w:rsidRPr="00454AC3">
        <w:rPr>
          <w:rFonts w:ascii="Arial" w:hAnsi="Arial" w:cs="Arial"/>
          <w:color w:val="000000" w:themeColor="text1"/>
          <w:sz w:val="24"/>
          <w:szCs w:val="24"/>
        </w:rPr>
        <w:t>mobilní datové sítě.</w:t>
      </w:r>
    </w:p>
    <w:bookmarkEnd w:id="2"/>
    <w:p w14:paraId="039AEC39" w14:textId="58680124" w:rsidR="00FC48BE" w:rsidRPr="00454AC3" w:rsidRDefault="00FC48BE" w:rsidP="00647966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2DFCB74" w14:textId="4EED6A25" w:rsidR="00D26E32" w:rsidRPr="00454AC3" w:rsidRDefault="00D26E32" w:rsidP="6DFA665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Přehled událostí v</w:t>
      </w:r>
      <w:r w:rsidR="000D3CC9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souvislosti s</w:t>
      </w:r>
      <w:r w:rsidR="000D3CC9"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b/>
          <w:bCs/>
          <w:color w:val="000000" w:themeColor="text1"/>
          <w:sz w:val="24"/>
          <w:szCs w:val="24"/>
        </w:rPr>
        <w:t>přechodem na standard DVB-T2</w:t>
      </w:r>
    </w:p>
    <w:p w14:paraId="1E8CF1C4" w14:textId="77777777" w:rsidR="00D26E32" w:rsidRPr="00454AC3" w:rsidRDefault="00D26E32" w:rsidP="00D26E3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23B0C4" w14:textId="034E913C" w:rsidR="00D26E32" w:rsidRPr="00454AC3" w:rsidRDefault="00D26E32" w:rsidP="00D26E3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4AC3">
        <w:rPr>
          <w:rFonts w:ascii="Arial" w:hAnsi="Arial" w:cs="Arial"/>
          <w:bCs/>
          <w:color w:val="000000" w:themeColor="text1"/>
          <w:sz w:val="24"/>
          <w:szCs w:val="24"/>
        </w:rPr>
        <w:t>Následující přehled zahrnuje klíčové události</w:t>
      </w:r>
      <w:r w:rsidR="00C777D5" w:rsidRPr="00454AC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454AC3">
        <w:rPr>
          <w:rFonts w:ascii="Arial" w:hAnsi="Arial" w:cs="Arial"/>
          <w:bCs/>
          <w:color w:val="000000" w:themeColor="text1"/>
          <w:sz w:val="24"/>
          <w:szCs w:val="24"/>
        </w:rPr>
        <w:t xml:space="preserve"> uspořádané podle data v</w:t>
      </w:r>
      <w:r w:rsidR="000D3CC9" w:rsidRPr="00454AC3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454AC3">
        <w:rPr>
          <w:rFonts w:ascii="Arial" w:hAnsi="Arial" w:cs="Arial"/>
          <w:bCs/>
          <w:color w:val="000000" w:themeColor="text1"/>
          <w:sz w:val="24"/>
          <w:szCs w:val="24"/>
        </w:rPr>
        <w:t>časovém rámci od ukončení přechodu zemského analogového televizního vysílání na digitální vysílání ve standardu DVB-T do konce roku 2020.</w:t>
      </w:r>
    </w:p>
    <w:p w14:paraId="14410A66" w14:textId="77777777" w:rsidR="00D26E32" w:rsidRPr="00454AC3" w:rsidRDefault="00D26E32" w:rsidP="00D26E3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8"/>
        <w:gridCol w:w="2849"/>
        <w:gridCol w:w="4795"/>
      </w:tblGrid>
      <w:tr w:rsidR="0086569E" w:rsidRPr="00454AC3" w14:paraId="78F227C2" w14:textId="77777777" w:rsidTr="161AA48C">
        <w:tc>
          <w:tcPr>
            <w:tcW w:w="1418" w:type="dxa"/>
          </w:tcPr>
          <w:p w14:paraId="1E38B191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000B83C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Událost-milník</w:t>
            </w:r>
          </w:p>
        </w:tc>
        <w:tc>
          <w:tcPr>
            <w:tcW w:w="4795" w:type="dxa"/>
          </w:tcPr>
          <w:p w14:paraId="36A87DE2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Poznámky</w:t>
            </w:r>
          </w:p>
        </w:tc>
      </w:tr>
      <w:tr w:rsidR="0086569E" w:rsidRPr="00454AC3" w14:paraId="2C0ABE98" w14:textId="77777777" w:rsidTr="161AA48C">
        <w:tc>
          <w:tcPr>
            <w:tcW w:w="1418" w:type="dxa"/>
          </w:tcPr>
          <w:p w14:paraId="7CEC313D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11.11.2011</w:t>
            </w:r>
          </w:p>
        </w:tc>
        <w:tc>
          <w:tcPr>
            <w:tcW w:w="2849" w:type="dxa"/>
          </w:tcPr>
          <w:p w14:paraId="0C29E36E" w14:textId="734351DE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Praktické ukončení analogového vysílání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ČR </w:t>
            </w:r>
          </w:p>
        </w:tc>
        <w:tc>
          <w:tcPr>
            <w:tcW w:w="4795" w:type="dxa"/>
          </w:tcPr>
          <w:p w14:paraId="3E06A696" w14:textId="7A2C1068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Deklarováno ukončení analogového vysílání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celoplošných sítích.</w:t>
            </w:r>
          </w:p>
          <w:p w14:paraId="2031A81A" w14:textId="147AA48F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Seminář ČTÚ k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ukončení přechodu na DVB-T.</w:t>
            </w:r>
          </w:p>
        </w:tc>
      </w:tr>
      <w:tr w:rsidR="0086569E" w:rsidRPr="00454AC3" w14:paraId="500DC97E" w14:textId="77777777" w:rsidTr="161AA48C">
        <w:tc>
          <w:tcPr>
            <w:tcW w:w="1418" w:type="dxa"/>
          </w:tcPr>
          <w:p w14:paraId="333E9C32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15.3.2012</w:t>
            </w:r>
          </w:p>
        </w:tc>
        <w:tc>
          <w:tcPr>
            <w:tcW w:w="2849" w:type="dxa"/>
          </w:tcPr>
          <w:p w14:paraId="03FAEEE1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Vypnuty poslední ATV vysílače</w:t>
            </w:r>
          </w:p>
        </w:tc>
        <w:tc>
          <w:tcPr>
            <w:tcW w:w="4795" w:type="dxa"/>
          </w:tcPr>
          <w:p w14:paraId="4CAAD081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Velké výkony: Jeseník 50 (NOVA) 12.2.2012, Zlín 58 (Prima) 1.1.2012</w:t>
            </w:r>
          </w:p>
        </w:tc>
      </w:tr>
      <w:tr w:rsidR="0086569E" w:rsidRPr="00454AC3" w14:paraId="4E4090C9" w14:textId="77777777" w:rsidTr="161AA48C">
        <w:tc>
          <w:tcPr>
            <w:tcW w:w="1418" w:type="dxa"/>
          </w:tcPr>
          <w:p w14:paraId="3BF7BE71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849" w:type="dxa"/>
          </w:tcPr>
          <w:p w14:paraId="2A51BC76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Strategie správy spektra 2012</w:t>
            </w:r>
          </w:p>
        </w:tc>
        <w:tc>
          <w:tcPr>
            <w:tcW w:w="4795" w:type="dxa"/>
          </w:tcPr>
          <w:p w14:paraId="1CB7B251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Přijetí Strategie správy rádiového spektra 2012</w:t>
            </w:r>
          </w:p>
        </w:tc>
      </w:tr>
      <w:tr w:rsidR="0086569E" w:rsidRPr="00454AC3" w14:paraId="2C6CD684" w14:textId="77777777" w:rsidTr="161AA48C">
        <w:tc>
          <w:tcPr>
            <w:tcW w:w="1418" w:type="dxa"/>
          </w:tcPr>
          <w:p w14:paraId="1DFF542D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12.6.2012</w:t>
            </w:r>
          </w:p>
        </w:tc>
        <w:tc>
          <w:tcPr>
            <w:tcW w:w="2849" w:type="dxa"/>
          </w:tcPr>
          <w:p w14:paraId="674CFE10" w14:textId="43F65183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Formální ukončení analogového vysílání v</w:t>
            </w:r>
            <w:r w:rsidR="00455823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ČR</w:t>
            </w:r>
          </w:p>
        </w:tc>
        <w:tc>
          <w:tcPr>
            <w:tcW w:w="4795" w:type="dxa"/>
          </w:tcPr>
          <w:p w14:paraId="0FBBA31A" w14:textId="46B51E90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Termín ukončení přechodu z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analogového na digitální vysílání dle Technického plánu přechodu </w:t>
            </w:r>
          </w:p>
        </w:tc>
      </w:tr>
      <w:tr w:rsidR="0086569E" w:rsidRPr="00454AC3" w14:paraId="079C0AD8" w14:textId="77777777" w:rsidTr="161AA48C">
        <w:tc>
          <w:tcPr>
            <w:tcW w:w="1418" w:type="dxa"/>
          </w:tcPr>
          <w:p w14:paraId="666E5706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849" w:type="dxa"/>
          </w:tcPr>
          <w:p w14:paraId="320D6F8D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Novela PVRS</w:t>
            </w:r>
          </w:p>
        </w:tc>
        <w:tc>
          <w:tcPr>
            <w:tcW w:w="4795" w:type="dxa"/>
          </w:tcPr>
          <w:p w14:paraId="487D3D0E" w14:textId="318ADF19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Novela příslušné přílohy plánu využití rádiové spektra, obsahující řešení pásma 800 MHz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základní rysy řešení pásma 700 MHz</w:t>
            </w:r>
          </w:p>
        </w:tc>
      </w:tr>
      <w:tr w:rsidR="0086569E" w:rsidRPr="00454AC3" w14:paraId="6AE3A60E" w14:textId="77777777" w:rsidTr="161AA48C">
        <w:tc>
          <w:tcPr>
            <w:tcW w:w="1418" w:type="dxa"/>
          </w:tcPr>
          <w:p w14:paraId="0858C242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849" w:type="dxa"/>
          </w:tcPr>
          <w:p w14:paraId="502123E2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WRC 2012</w:t>
            </w:r>
          </w:p>
        </w:tc>
        <w:tc>
          <w:tcPr>
            <w:tcW w:w="4795" w:type="dxa"/>
          </w:tcPr>
          <w:p w14:paraId="226A8100" w14:textId="2A741EEA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Zahájení diskuse k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uvolnění pásma 700 MHz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rámci ITU i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EU. </w:t>
            </w:r>
          </w:p>
        </w:tc>
      </w:tr>
      <w:tr w:rsidR="0086569E" w:rsidRPr="00454AC3" w14:paraId="16B241CD" w14:textId="77777777" w:rsidTr="161AA48C">
        <w:tc>
          <w:tcPr>
            <w:tcW w:w="1418" w:type="dxa"/>
          </w:tcPr>
          <w:p w14:paraId="3A6644BF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14:paraId="00682F54" w14:textId="78A3EA0B" w:rsidR="00D26E32" w:rsidRPr="00454AC3" w:rsidRDefault="07705B12" w:rsidP="00647966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Březen</w:t>
            </w:r>
          </w:p>
        </w:tc>
        <w:tc>
          <w:tcPr>
            <w:tcW w:w="2849" w:type="dxa"/>
          </w:tcPr>
          <w:p w14:paraId="37EC581F" w14:textId="2416FF87" w:rsidR="00D26E32" w:rsidRPr="00454AC3" w:rsidRDefault="0BD38AF5" w:rsidP="161AA48C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aktualizovaná Státní politika v</w:t>
            </w:r>
            <w:r w:rsidR="000D3CC9"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elektronických </w:t>
            </w:r>
            <w:r w:rsidR="004844C2"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komunikacích – Digitální</w:t>
            </w:r>
            <w:r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Česko v. 2.0 Cesta k</w:t>
            </w:r>
            <w:r w:rsidR="000D3CC9"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digitální ekonomice</w:t>
            </w:r>
          </w:p>
        </w:tc>
        <w:tc>
          <w:tcPr>
            <w:tcW w:w="4795" w:type="dxa"/>
          </w:tcPr>
          <w:p w14:paraId="00FD765B" w14:textId="20AB945D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Dokument zahrnoval i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úkoly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digitalizaci televizního vysílání.</w:t>
            </w:r>
            <w:r w:rsidR="26D7AF6C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(UV č. 203/2013)</w:t>
            </w:r>
          </w:p>
        </w:tc>
      </w:tr>
      <w:tr w:rsidR="0086569E" w:rsidRPr="00454AC3" w14:paraId="4EDC5875" w14:textId="77777777" w:rsidTr="161AA48C">
        <w:tc>
          <w:tcPr>
            <w:tcW w:w="1418" w:type="dxa"/>
          </w:tcPr>
          <w:p w14:paraId="4F93068D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2013</w:t>
            </w:r>
          </w:p>
          <w:p w14:paraId="566F3397" w14:textId="77777777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Prosinec</w:t>
            </w:r>
          </w:p>
        </w:tc>
        <w:tc>
          <w:tcPr>
            <w:tcW w:w="2849" w:type="dxa"/>
          </w:tcPr>
          <w:p w14:paraId="031AFA48" w14:textId="26EE6725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Zahájení diskuse k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nové Strategii správy rádiového spektra </w:t>
            </w:r>
          </w:p>
        </w:tc>
        <w:tc>
          <w:tcPr>
            <w:tcW w:w="4795" w:type="dxa"/>
          </w:tcPr>
          <w:p w14:paraId="3D004824" w14:textId="1961A24B" w:rsidR="00D26E32" w:rsidRPr="00454AC3" w:rsidRDefault="00D26E32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Zahájení </w:t>
            </w:r>
            <w:r w:rsidR="004844C2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diskuse podle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požadavků materiálu Digitální Česko 2.0</w:t>
            </w:r>
          </w:p>
        </w:tc>
      </w:tr>
      <w:tr w:rsidR="0086569E" w:rsidRPr="00454AC3" w14:paraId="15920D76" w14:textId="77777777" w:rsidTr="161AA48C">
        <w:tc>
          <w:tcPr>
            <w:tcW w:w="1418" w:type="dxa"/>
          </w:tcPr>
          <w:p w14:paraId="6B468C5C" w14:textId="718D1D59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849" w:type="dxa"/>
          </w:tcPr>
          <w:p w14:paraId="0C838496" w14:textId="73A8A970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Veřejná konzultace E</w:t>
            </w:r>
            <w:r w:rsidR="4FED3D47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Lamyho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zprávy</w:t>
            </w:r>
          </w:p>
        </w:tc>
        <w:tc>
          <w:tcPr>
            <w:tcW w:w="4795" w:type="dxa"/>
          </w:tcPr>
          <w:p w14:paraId="2C8215FB" w14:textId="674068D6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Veřejná diskuse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rámci EU, ustavení pracovní skupiny MPO k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přípravě účasti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diskusi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přípravě Strategie rozvoje zemského digitálního vysílání</w:t>
            </w:r>
          </w:p>
        </w:tc>
      </w:tr>
      <w:tr w:rsidR="0086569E" w:rsidRPr="00454AC3" w14:paraId="25C60FCB" w14:textId="77777777" w:rsidTr="161AA48C">
        <w:tc>
          <w:tcPr>
            <w:tcW w:w="1418" w:type="dxa"/>
          </w:tcPr>
          <w:p w14:paraId="763A6701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849" w:type="dxa"/>
          </w:tcPr>
          <w:p w14:paraId="398E7DC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Strategie správy rádiového spektra 2015</w:t>
            </w:r>
          </w:p>
        </w:tc>
        <w:tc>
          <w:tcPr>
            <w:tcW w:w="4795" w:type="dxa"/>
          </w:tcPr>
          <w:p w14:paraId="2A7C5B91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Další kola diskuse aktuální verze Strategie správy rádiové spektra, 2 kola veřejných konzultací (2014/2015), schválena 3. verze</w:t>
            </w:r>
          </w:p>
          <w:p w14:paraId="7FD19174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(UV č.421/2015)</w:t>
            </w:r>
          </w:p>
        </w:tc>
      </w:tr>
      <w:tr w:rsidR="0086569E" w:rsidRPr="00454AC3" w14:paraId="47D61227" w14:textId="77777777" w:rsidTr="161AA48C">
        <w:tc>
          <w:tcPr>
            <w:tcW w:w="1418" w:type="dxa"/>
          </w:tcPr>
          <w:p w14:paraId="3A58B3F1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</w:p>
          <w:p w14:paraId="77FBEC2E" w14:textId="0D18C652" w:rsidR="00762E7F" w:rsidRPr="00454AC3" w:rsidRDefault="2B60DD51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="00762E7F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erven</w:t>
            </w:r>
          </w:p>
        </w:tc>
        <w:tc>
          <w:tcPr>
            <w:tcW w:w="2849" w:type="dxa"/>
          </w:tcPr>
          <w:p w14:paraId="16A0936E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Přijetí Strategie správy rádiového spektra 2015</w:t>
            </w:r>
          </w:p>
        </w:tc>
        <w:tc>
          <w:tcPr>
            <w:tcW w:w="4795" w:type="dxa"/>
          </w:tcPr>
          <w:p w14:paraId="29449A09" w14:textId="548D5526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Uložení úkolu MPO ke zpracování Strategie rozvoje zemského digitálního </w:t>
            </w:r>
            <w:r w:rsidR="2F1AE367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televizního 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vysílání </w:t>
            </w:r>
          </w:p>
        </w:tc>
      </w:tr>
      <w:tr w:rsidR="0086569E" w:rsidRPr="00454AC3" w14:paraId="33A20634" w14:textId="77777777" w:rsidTr="161AA48C">
        <w:tc>
          <w:tcPr>
            <w:tcW w:w="1418" w:type="dxa"/>
          </w:tcPr>
          <w:p w14:paraId="7A83358F" w14:textId="1DBC9A99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849" w:type="dxa"/>
          </w:tcPr>
          <w:p w14:paraId="16AAB586" w14:textId="3D5BCABC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WRC 2015</w:t>
            </w:r>
          </w:p>
        </w:tc>
        <w:tc>
          <w:tcPr>
            <w:tcW w:w="4795" w:type="dxa"/>
          </w:tcPr>
          <w:p w14:paraId="2E0291D9" w14:textId="5F36C431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Rozhodnuto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harmonizaci pásma 694–790 MHz pro IMT</w:t>
            </w:r>
          </w:p>
        </w:tc>
      </w:tr>
      <w:tr w:rsidR="0086569E" w:rsidRPr="00454AC3" w14:paraId="20B1FF12" w14:textId="77777777" w:rsidTr="161AA48C">
        <w:tc>
          <w:tcPr>
            <w:tcW w:w="1418" w:type="dxa"/>
          </w:tcPr>
          <w:p w14:paraId="69D4C098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  <w:p w14:paraId="21ED80E8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Květen </w:t>
            </w:r>
          </w:p>
        </w:tc>
        <w:tc>
          <w:tcPr>
            <w:tcW w:w="2849" w:type="dxa"/>
          </w:tcPr>
          <w:p w14:paraId="2F76F72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Zahájení přípravy Evropského rozhodnutí pro využití pásma 700 MHz</w:t>
            </w:r>
          </w:p>
        </w:tc>
        <w:tc>
          <w:tcPr>
            <w:tcW w:w="4795" w:type="dxa"/>
          </w:tcPr>
          <w:p w14:paraId="01F4A03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Rada EU pro telekomunikace 2016 (květen) členským státům uložena povinnost připravit do 31. 12. 2017 koordinovaně se sousedy nové kmitočtové plány, respektující uvolnění pásma 700 MHz</w:t>
            </w:r>
          </w:p>
        </w:tc>
      </w:tr>
      <w:tr w:rsidR="0086569E" w:rsidRPr="00454AC3" w14:paraId="79555D54" w14:textId="77777777" w:rsidTr="161AA48C">
        <w:tc>
          <w:tcPr>
            <w:tcW w:w="1418" w:type="dxa"/>
          </w:tcPr>
          <w:p w14:paraId="679320C4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  <w:p w14:paraId="125CFE22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Červen</w:t>
            </w:r>
          </w:p>
        </w:tc>
        <w:tc>
          <w:tcPr>
            <w:tcW w:w="2849" w:type="dxa"/>
          </w:tcPr>
          <w:p w14:paraId="148E2CA8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Přijetí Strategie rozvoje zemského digitálního televizního vysílání 2016</w:t>
            </w:r>
          </w:p>
        </w:tc>
        <w:tc>
          <w:tcPr>
            <w:tcW w:w="4795" w:type="dxa"/>
          </w:tcPr>
          <w:p w14:paraId="2D53D564" w14:textId="65BFB695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Usnesení vlády č.</w:t>
            </w:r>
            <w:r w:rsidR="2B60DD51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468/2016 </w:t>
            </w:r>
          </w:p>
          <w:p w14:paraId="042E253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6569E" w:rsidRPr="00454AC3" w14:paraId="254A4C29" w14:textId="77777777" w:rsidTr="161AA48C">
        <w:tc>
          <w:tcPr>
            <w:tcW w:w="1418" w:type="dxa"/>
          </w:tcPr>
          <w:p w14:paraId="5AEA56E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849" w:type="dxa"/>
          </w:tcPr>
          <w:p w14:paraId="6B13B6D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D-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Book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CZ</w:t>
            </w:r>
          </w:p>
        </w:tc>
        <w:tc>
          <w:tcPr>
            <w:tcW w:w="4795" w:type="dxa"/>
          </w:tcPr>
          <w:p w14:paraId="6E5A9D1D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Aktualizace D-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Book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CZ, DVB-T2/HEVC</w:t>
            </w:r>
          </w:p>
        </w:tc>
      </w:tr>
      <w:tr w:rsidR="0086569E" w:rsidRPr="00454AC3" w14:paraId="5BDB2AEE" w14:textId="77777777" w:rsidTr="161AA48C">
        <w:tc>
          <w:tcPr>
            <w:tcW w:w="1418" w:type="dxa"/>
          </w:tcPr>
          <w:p w14:paraId="2E5886A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849" w:type="dxa"/>
          </w:tcPr>
          <w:p w14:paraId="153292A2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Zahájení certifikace přijímacích zařízení </w:t>
            </w:r>
          </w:p>
        </w:tc>
        <w:tc>
          <w:tcPr>
            <w:tcW w:w="4795" w:type="dxa"/>
          </w:tcPr>
          <w:p w14:paraId="502FFBC9" w14:textId="5EF0852D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Ověřování, certifikace přijímacích zařízení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laboratoři Č</w:t>
            </w:r>
            <w:r w:rsidR="1E2C4F6E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eských Radiokomunikací a.s. (dále jen </w:t>
            </w:r>
            <w:proofErr w:type="spellStart"/>
            <w:r w:rsidR="1E2C4F6E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Ra</w:t>
            </w:r>
            <w:proofErr w:type="spellEnd"/>
            <w:r w:rsidR="1E2C4F6E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 účasti firem spotřební elektroniky</w:t>
            </w:r>
          </w:p>
        </w:tc>
      </w:tr>
      <w:tr w:rsidR="0086569E" w:rsidRPr="00454AC3" w14:paraId="648BF270" w14:textId="77777777" w:rsidTr="161AA48C">
        <w:tc>
          <w:tcPr>
            <w:tcW w:w="1418" w:type="dxa"/>
          </w:tcPr>
          <w:p w14:paraId="020ACF4C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849" w:type="dxa"/>
          </w:tcPr>
          <w:p w14:paraId="73BF3A1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Prenotifikační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řízení ve věci zamýšlených kompenzací (zahájení)</w:t>
            </w:r>
          </w:p>
        </w:tc>
        <w:tc>
          <w:tcPr>
            <w:tcW w:w="4795" w:type="dxa"/>
          </w:tcPr>
          <w:p w14:paraId="0A25BB37" w14:textId="3671B292" w:rsidR="00762E7F" w:rsidRPr="00454AC3" w:rsidRDefault="00762E7F" w:rsidP="00647966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Zahájeno 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prenotifikační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řízení u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30ED86D8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EK</w:t>
            </w:r>
          </w:p>
        </w:tc>
      </w:tr>
      <w:tr w:rsidR="0086569E" w:rsidRPr="00454AC3" w14:paraId="501566DE" w14:textId="77777777" w:rsidTr="161AA48C">
        <w:tc>
          <w:tcPr>
            <w:tcW w:w="1418" w:type="dxa"/>
          </w:tcPr>
          <w:p w14:paraId="67E09B23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</w:t>
            </w:r>
          </w:p>
          <w:p w14:paraId="2EAC6F7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Leden</w:t>
            </w:r>
          </w:p>
        </w:tc>
        <w:tc>
          <w:tcPr>
            <w:tcW w:w="2849" w:type="dxa"/>
          </w:tcPr>
          <w:p w14:paraId="283E368D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Novely Nařízení vlády </w:t>
            </w:r>
          </w:p>
        </w:tc>
        <w:tc>
          <w:tcPr>
            <w:tcW w:w="4795" w:type="dxa"/>
          </w:tcPr>
          <w:p w14:paraId="75BF89C6" w14:textId="194DFD7C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Novely nařízení vlády č.153/2005 Sb.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č.154/2005 Sb. </w:t>
            </w:r>
          </w:p>
        </w:tc>
      </w:tr>
      <w:tr w:rsidR="0086569E" w:rsidRPr="00454AC3" w14:paraId="15EE8A0A" w14:textId="77777777" w:rsidTr="161AA48C">
        <w:tc>
          <w:tcPr>
            <w:tcW w:w="1418" w:type="dxa"/>
          </w:tcPr>
          <w:p w14:paraId="601828E4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849" w:type="dxa"/>
          </w:tcPr>
          <w:p w14:paraId="19E58F4B" w14:textId="52D049B5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Evropské rozhodnutí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uvolnění pásma 700 MHz</w:t>
            </w:r>
          </w:p>
        </w:tc>
        <w:tc>
          <w:tcPr>
            <w:tcW w:w="4795" w:type="dxa"/>
          </w:tcPr>
          <w:p w14:paraId="16B6E94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2017, květen, vč. úkolů do konce roku 2017</w:t>
            </w:r>
          </w:p>
          <w:p w14:paraId="021FB850" w14:textId="2C57C482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Rozhodnutí EP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Rady (EU) 2017/899</w:t>
            </w:r>
          </w:p>
        </w:tc>
      </w:tr>
      <w:tr w:rsidR="0086569E" w:rsidRPr="00454AC3" w14:paraId="517FB577" w14:textId="77777777" w:rsidTr="161AA48C">
        <w:tc>
          <w:tcPr>
            <w:tcW w:w="1418" w:type="dxa"/>
          </w:tcPr>
          <w:p w14:paraId="7B326538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</w:t>
            </w:r>
          </w:p>
          <w:p w14:paraId="5762000A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Srpen</w:t>
            </w:r>
          </w:p>
        </w:tc>
        <w:tc>
          <w:tcPr>
            <w:tcW w:w="2849" w:type="dxa"/>
          </w:tcPr>
          <w:p w14:paraId="65A872A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Diginovela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ZEK</w:t>
            </w:r>
          </w:p>
          <w:p w14:paraId="0A431D2E" w14:textId="6475AD70" w:rsidR="00762E7F" w:rsidRPr="00454AC3" w:rsidRDefault="45CEFDE5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č. </w:t>
            </w:r>
            <w:r w:rsidR="00762E7F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252/2017 Sb.</w:t>
            </w:r>
          </w:p>
          <w:p w14:paraId="4BC31D24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95" w:type="dxa"/>
          </w:tcPr>
          <w:p w14:paraId="1741C719" w14:textId="0A1E18A4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Novela zákona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el. komunikacích, 252/2017</w:t>
            </w:r>
            <w:r w:rsidR="2B60DD51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účinná od 1.9.2017, vč. novely zákona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České Televizi</w:t>
            </w:r>
          </w:p>
        </w:tc>
      </w:tr>
      <w:tr w:rsidR="0086569E" w:rsidRPr="00454AC3" w14:paraId="3AE13C7F" w14:textId="77777777" w:rsidTr="161AA48C">
        <w:tc>
          <w:tcPr>
            <w:tcW w:w="1418" w:type="dxa"/>
          </w:tcPr>
          <w:p w14:paraId="2B61769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2017</w:t>
            </w:r>
          </w:p>
          <w:p w14:paraId="550F48F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Srpen</w:t>
            </w:r>
          </w:p>
        </w:tc>
        <w:tc>
          <w:tcPr>
            <w:tcW w:w="2849" w:type="dxa"/>
          </w:tcPr>
          <w:p w14:paraId="466ED17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Novela PVRS</w:t>
            </w:r>
          </w:p>
        </w:tc>
        <w:tc>
          <w:tcPr>
            <w:tcW w:w="4795" w:type="dxa"/>
          </w:tcPr>
          <w:p w14:paraId="2467BD98" w14:textId="083D55E2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Novelizace PVRS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návaznosti na Evropské rozhodnutí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mezinárodní koordinaci </w:t>
            </w:r>
          </w:p>
        </w:tc>
      </w:tr>
      <w:tr w:rsidR="0086569E" w:rsidRPr="00454AC3" w14:paraId="47381AB2" w14:textId="77777777" w:rsidTr="161AA48C">
        <w:tc>
          <w:tcPr>
            <w:tcW w:w="1418" w:type="dxa"/>
          </w:tcPr>
          <w:p w14:paraId="6DDAAA8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2017</w:t>
            </w:r>
          </w:p>
          <w:p w14:paraId="78CCE77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Březen</w:t>
            </w:r>
          </w:p>
        </w:tc>
        <w:tc>
          <w:tcPr>
            <w:tcW w:w="2849" w:type="dxa"/>
          </w:tcPr>
          <w:p w14:paraId="67D7B131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Zahájení výstavby přechodových sítí (síť 12)</w:t>
            </w:r>
          </w:p>
        </w:tc>
        <w:tc>
          <w:tcPr>
            <w:tcW w:w="4795" w:type="dxa"/>
          </w:tcPr>
          <w:p w14:paraId="58B5883B" w14:textId="0E90B40C" w:rsidR="00762E7F" w:rsidRPr="00454AC3" w:rsidRDefault="00762E7F" w:rsidP="1E3C83C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Přechodová síť 12 (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ČRa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), </w:t>
            </w:r>
            <w:r w:rsidR="004844C2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4844C2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prvních</w:t>
            </w:r>
            <w:r w:rsidR="4FEE85BF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aglomeracích</w:t>
            </w:r>
          </w:p>
        </w:tc>
      </w:tr>
      <w:tr w:rsidR="0086569E" w:rsidRPr="00454AC3" w14:paraId="5205BA08" w14:textId="77777777" w:rsidTr="161AA48C">
        <w:tc>
          <w:tcPr>
            <w:tcW w:w="1418" w:type="dxa"/>
          </w:tcPr>
          <w:p w14:paraId="4E6501A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2017</w:t>
            </w:r>
          </w:p>
          <w:p w14:paraId="13FCEEC3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Prosinec</w:t>
            </w:r>
          </w:p>
        </w:tc>
        <w:tc>
          <w:tcPr>
            <w:tcW w:w="2849" w:type="dxa"/>
          </w:tcPr>
          <w:p w14:paraId="6D55A2BF" w14:textId="2E2D6248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Mezinárodní koordinace-</w:t>
            </w:r>
          </w:p>
          <w:p w14:paraId="69605DD1" w14:textId="54702559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Nový DVB-T2 plán</w:t>
            </w:r>
          </w:p>
        </w:tc>
        <w:tc>
          <w:tcPr>
            <w:tcW w:w="4795" w:type="dxa"/>
          </w:tcPr>
          <w:p w14:paraId="30FC16DC" w14:textId="25A167DE" w:rsidR="00762E7F" w:rsidRPr="00454AC3" w:rsidRDefault="3B840A58" w:rsidP="1E3C83C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ČTÚ –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762E7F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prosinci byly podepsány poslední dohody se sousedními administracemi správy rádiového spektra</w:t>
            </w:r>
          </w:p>
        </w:tc>
      </w:tr>
      <w:tr w:rsidR="0086569E" w:rsidRPr="00454AC3" w14:paraId="47087568" w14:textId="77777777" w:rsidTr="161AA48C">
        <w:tc>
          <w:tcPr>
            <w:tcW w:w="1418" w:type="dxa"/>
          </w:tcPr>
          <w:p w14:paraId="40BEA304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  <w:p w14:paraId="6C80AFA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Březen</w:t>
            </w:r>
          </w:p>
        </w:tc>
        <w:tc>
          <w:tcPr>
            <w:tcW w:w="2849" w:type="dxa"/>
          </w:tcPr>
          <w:p w14:paraId="1FE0C79C" w14:textId="5C4549B1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Výstavba přechodových sítí vč. 11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95" w:type="dxa"/>
          </w:tcPr>
          <w:p w14:paraId="0D56690B" w14:textId="61F3DBDA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Přechodové sítě 11 (pro ČT)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13 (DB) zahájení výstavby</w:t>
            </w:r>
          </w:p>
        </w:tc>
      </w:tr>
      <w:tr w:rsidR="0086569E" w:rsidRPr="00454AC3" w14:paraId="4AC072E9" w14:textId="77777777" w:rsidTr="161AA48C">
        <w:tc>
          <w:tcPr>
            <w:tcW w:w="1418" w:type="dxa"/>
          </w:tcPr>
          <w:p w14:paraId="2A8CE94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2018 Srpen</w:t>
            </w:r>
          </w:p>
        </w:tc>
        <w:tc>
          <w:tcPr>
            <w:tcW w:w="2849" w:type="dxa"/>
          </w:tcPr>
          <w:p w14:paraId="7ADE221B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Schválení Technického plánu přechodu</w:t>
            </w:r>
          </w:p>
        </w:tc>
        <w:tc>
          <w:tcPr>
            <w:tcW w:w="4795" w:type="dxa"/>
          </w:tcPr>
          <w:p w14:paraId="36CF536E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Nařízení vlády č.199/2018 Sb. podle 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Diginovely</w:t>
            </w:r>
            <w:proofErr w:type="spellEnd"/>
          </w:p>
        </w:tc>
      </w:tr>
      <w:tr w:rsidR="0086569E" w:rsidRPr="00454AC3" w14:paraId="78D18B36" w14:textId="77777777" w:rsidTr="161AA48C">
        <w:tc>
          <w:tcPr>
            <w:tcW w:w="1418" w:type="dxa"/>
          </w:tcPr>
          <w:p w14:paraId="5405273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  <w:p w14:paraId="64BE4943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849" w:type="dxa"/>
          </w:tcPr>
          <w:p w14:paraId="730D78D6" w14:textId="1316A7F6" w:rsidR="00762E7F" w:rsidRPr="00454AC3" w:rsidRDefault="00762E7F" w:rsidP="102962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Prv</w:t>
            </w:r>
            <w:r w:rsidR="48B74F2D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ní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žádost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změny přídělu </w:t>
            </w:r>
            <w:r w:rsidR="5F843987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po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dle TPP</w:t>
            </w:r>
          </w:p>
        </w:tc>
        <w:tc>
          <w:tcPr>
            <w:tcW w:w="4795" w:type="dxa"/>
          </w:tcPr>
          <w:p w14:paraId="66E1A05A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Digital Broadcasting (DB)</w:t>
            </w:r>
          </w:p>
        </w:tc>
      </w:tr>
      <w:tr w:rsidR="0086569E" w:rsidRPr="00454AC3" w14:paraId="794A106B" w14:textId="77777777" w:rsidTr="161AA48C">
        <w:tc>
          <w:tcPr>
            <w:tcW w:w="1418" w:type="dxa"/>
          </w:tcPr>
          <w:p w14:paraId="19D693C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57EEED6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Leden</w:t>
            </w:r>
          </w:p>
        </w:tc>
        <w:tc>
          <w:tcPr>
            <w:tcW w:w="2849" w:type="dxa"/>
          </w:tcPr>
          <w:p w14:paraId="0416CBFC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Prioritizace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prenotifikačního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řízení</w:t>
            </w:r>
          </w:p>
        </w:tc>
        <w:tc>
          <w:tcPr>
            <w:tcW w:w="4795" w:type="dxa"/>
          </w:tcPr>
          <w:p w14:paraId="799C392B" w14:textId="613125E3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Prioritizace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1F05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nákladů 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refarmingu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(přeladění) rádiových kmitočtů </w:t>
            </w:r>
          </w:p>
        </w:tc>
      </w:tr>
      <w:tr w:rsidR="0086569E" w:rsidRPr="00454AC3" w14:paraId="05CB0586" w14:textId="77777777" w:rsidTr="161AA48C">
        <w:tc>
          <w:tcPr>
            <w:tcW w:w="1418" w:type="dxa"/>
          </w:tcPr>
          <w:p w14:paraId="2964C4F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19E6225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Březen</w:t>
            </w:r>
          </w:p>
        </w:tc>
        <w:tc>
          <w:tcPr>
            <w:tcW w:w="2849" w:type="dxa"/>
          </w:tcPr>
          <w:p w14:paraId="2CBF08F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Aktualizace PVRS</w:t>
            </w:r>
          </w:p>
        </w:tc>
        <w:tc>
          <w:tcPr>
            <w:tcW w:w="4795" w:type="dxa"/>
          </w:tcPr>
          <w:p w14:paraId="37C7C48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PVRS umožňující prodloužení provozu regionálních sítí do června 2020</w:t>
            </w:r>
          </w:p>
        </w:tc>
      </w:tr>
      <w:tr w:rsidR="0086569E" w:rsidRPr="00454AC3" w14:paraId="30937CCE" w14:textId="77777777" w:rsidTr="161AA48C">
        <w:tc>
          <w:tcPr>
            <w:tcW w:w="1418" w:type="dxa"/>
          </w:tcPr>
          <w:p w14:paraId="589FAC0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0097C49E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Březen</w:t>
            </w:r>
          </w:p>
        </w:tc>
        <w:tc>
          <w:tcPr>
            <w:tcW w:w="2849" w:type="dxa"/>
          </w:tcPr>
          <w:p w14:paraId="595E91BA" w14:textId="27B692BA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Další žádosti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změnu přídělu</w:t>
            </w:r>
          </w:p>
        </w:tc>
        <w:tc>
          <w:tcPr>
            <w:tcW w:w="4795" w:type="dxa"/>
          </w:tcPr>
          <w:p w14:paraId="1C096C7B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České Radiokomunikace (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ČRa</w:t>
            </w:r>
            <w:proofErr w:type="spellEnd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), CDG, ČT</w:t>
            </w:r>
          </w:p>
        </w:tc>
      </w:tr>
      <w:tr w:rsidR="0086569E" w:rsidRPr="00454AC3" w14:paraId="232F38B3" w14:textId="77777777" w:rsidTr="161AA48C">
        <w:tc>
          <w:tcPr>
            <w:tcW w:w="1418" w:type="dxa"/>
          </w:tcPr>
          <w:p w14:paraId="2527C7AD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0223ED5A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Září</w:t>
            </w:r>
          </w:p>
        </w:tc>
        <w:tc>
          <w:tcPr>
            <w:tcW w:w="2849" w:type="dxa"/>
          </w:tcPr>
          <w:p w14:paraId="37553D5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Vydání nových přídělů rádiových kmitočtů</w:t>
            </w:r>
          </w:p>
        </w:tc>
        <w:tc>
          <w:tcPr>
            <w:tcW w:w="4795" w:type="dxa"/>
          </w:tcPr>
          <w:p w14:paraId="5C1EC317" w14:textId="37BB96BE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Změna přídělů rádiových kmitočtů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souladu s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novelou zákona o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el. </w:t>
            </w:r>
            <w:r w:rsidR="696F8CCA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omunikací č. 252/2017 Sb.</w:t>
            </w:r>
          </w:p>
        </w:tc>
      </w:tr>
      <w:tr w:rsidR="0086569E" w:rsidRPr="00454AC3" w14:paraId="56794471" w14:textId="77777777" w:rsidTr="161AA48C">
        <w:tc>
          <w:tcPr>
            <w:tcW w:w="1418" w:type="dxa"/>
          </w:tcPr>
          <w:p w14:paraId="659F01B8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2011CFC1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849" w:type="dxa"/>
          </w:tcPr>
          <w:p w14:paraId="665BE5C5" w14:textId="45D67AC9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Zahájeno notifikační řízení u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Evropské komise ve věci I. Části </w:t>
            </w:r>
            <w:proofErr w:type="spellStart"/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prenotifikace</w:t>
            </w:r>
            <w:proofErr w:type="spellEnd"/>
          </w:p>
        </w:tc>
        <w:tc>
          <w:tcPr>
            <w:tcW w:w="4795" w:type="dxa"/>
          </w:tcPr>
          <w:p w14:paraId="6E8A9B6B" w14:textId="5C628775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Podpora na výměnu kmitočtové závislých vysílacích zařízení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souvislosti s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přesunem z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pásma 700 MHz</w:t>
            </w:r>
          </w:p>
        </w:tc>
      </w:tr>
      <w:tr w:rsidR="0086569E" w:rsidRPr="00454AC3" w14:paraId="2642D07A" w14:textId="77777777" w:rsidTr="161AA48C">
        <w:tc>
          <w:tcPr>
            <w:tcW w:w="1418" w:type="dxa"/>
          </w:tcPr>
          <w:p w14:paraId="0543848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  <w:p w14:paraId="0A403B5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2849" w:type="dxa"/>
          </w:tcPr>
          <w:p w14:paraId="5D3020BC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Zahájení vypínání sítí DVB-T dle TPP</w:t>
            </w:r>
          </w:p>
        </w:tc>
        <w:tc>
          <w:tcPr>
            <w:tcW w:w="4795" w:type="dxa"/>
          </w:tcPr>
          <w:p w14:paraId="1A64C0BD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Vypnutí prvních vysílačů sítě 1 dle TPP </w:t>
            </w:r>
          </w:p>
        </w:tc>
      </w:tr>
      <w:tr w:rsidR="0086569E" w:rsidRPr="00454AC3" w14:paraId="56DF9289" w14:textId="77777777" w:rsidTr="161AA48C">
        <w:tc>
          <w:tcPr>
            <w:tcW w:w="1418" w:type="dxa"/>
          </w:tcPr>
          <w:p w14:paraId="6C44AC8A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  <w:p w14:paraId="219C0A45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Leden</w:t>
            </w:r>
          </w:p>
        </w:tc>
        <w:tc>
          <w:tcPr>
            <w:tcW w:w="2849" w:type="dxa"/>
          </w:tcPr>
          <w:p w14:paraId="7A42AE56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Vydáno rozhodnutí EK Notifikační řízení I.</w:t>
            </w:r>
          </w:p>
        </w:tc>
        <w:tc>
          <w:tcPr>
            <w:tcW w:w="4795" w:type="dxa"/>
          </w:tcPr>
          <w:p w14:paraId="6B271F10" w14:textId="47F942B0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Ve věci SA.55742 (2019/N) –Podpora na výměnu kmitočtově závislých vysílacích zařízení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souvislosti s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přesunem z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pásma 700 MHz – podporu je možné poskytnout je slučitelná s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vnitřním trhem na základě čl. 107 3c) SFEU</w:t>
            </w:r>
          </w:p>
        </w:tc>
      </w:tr>
      <w:tr w:rsidR="0086569E" w:rsidRPr="00454AC3" w14:paraId="1E0CCD26" w14:textId="77777777" w:rsidTr="161AA48C">
        <w:tc>
          <w:tcPr>
            <w:tcW w:w="1418" w:type="dxa"/>
          </w:tcPr>
          <w:p w14:paraId="5A0576F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  <w:p w14:paraId="1EB2FDB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Leden</w:t>
            </w:r>
          </w:p>
        </w:tc>
        <w:tc>
          <w:tcPr>
            <w:tcW w:w="2849" w:type="dxa"/>
          </w:tcPr>
          <w:p w14:paraId="53BB15BD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Pokračování procesu přechodu</w:t>
            </w:r>
          </w:p>
        </w:tc>
        <w:tc>
          <w:tcPr>
            <w:tcW w:w="4795" w:type="dxa"/>
          </w:tcPr>
          <w:p w14:paraId="4B3DD478" w14:textId="7B7879BF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Vypnutí prvních vysílačů v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komerčních sítích 2, 3 a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</w:tr>
      <w:tr w:rsidR="0086569E" w:rsidRPr="00454AC3" w14:paraId="206AAAF6" w14:textId="77777777" w:rsidTr="161AA48C">
        <w:tc>
          <w:tcPr>
            <w:tcW w:w="1418" w:type="dxa"/>
          </w:tcPr>
          <w:p w14:paraId="6C26DE34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 </w:t>
            </w:r>
          </w:p>
          <w:p w14:paraId="2A2761F6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Březen</w:t>
            </w:r>
          </w:p>
        </w:tc>
        <w:tc>
          <w:tcPr>
            <w:tcW w:w="2849" w:type="dxa"/>
          </w:tcPr>
          <w:p w14:paraId="43E5D197" w14:textId="3AD025E0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Přerušení implementace TPP – COVID</w:t>
            </w:r>
            <w:r w:rsidR="3D57FDD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95" w:type="dxa"/>
          </w:tcPr>
          <w:p w14:paraId="62A662AC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Dočasné zastavení postupu dle TPP</w:t>
            </w:r>
          </w:p>
          <w:p w14:paraId="24245201" w14:textId="08334BE4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Aktualizované TPP (</w:t>
            </w:r>
            <w:r w:rsidR="0923A12E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nařízení vlády č. 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120/2020</w:t>
            </w:r>
            <w:r w:rsidR="682FA7B7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Sb.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86569E" w:rsidRPr="00454AC3" w14:paraId="017C5B2A" w14:textId="77777777" w:rsidTr="161AA48C">
        <w:tc>
          <w:tcPr>
            <w:tcW w:w="1418" w:type="dxa"/>
          </w:tcPr>
          <w:p w14:paraId="372D547E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  <w:p w14:paraId="610F374B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Červen</w:t>
            </w:r>
          </w:p>
        </w:tc>
        <w:tc>
          <w:tcPr>
            <w:tcW w:w="2849" w:type="dxa"/>
          </w:tcPr>
          <w:p w14:paraId="1FC92A11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Obnovení, restart procesu dle TPP</w:t>
            </w:r>
          </w:p>
        </w:tc>
        <w:tc>
          <w:tcPr>
            <w:tcW w:w="4795" w:type="dxa"/>
          </w:tcPr>
          <w:p w14:paraId="035F7E4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Restart procesu dle TPP, Aktualizace TPP 268/2020 (červen)</w:t>
            </w:r>
          </w:p>
        </w:tc>
      </w:tr>
      <w:tr w:rsidR="0086569E" w:rsidRPr="00454AC3" w14:paraId="05D418DD" w14:textId="77777777" w:rsidTr="161AA48C">
        <w:tc>
          <w:tcPr>
            <w:tcW w:w="1418" w:type="dxa"/>
          </w:tcPr>
          <w:p w14:paraId="1AC206EB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  <w:p w14:paraId="209022BE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Květen</w:t>
            </w:r>
          </w:p>
        </w:tc>
        <w:tc>
          <w:tcPr>
            <w:tcW w:w="2849" w:type="dxa"/>
          </w:tcPr>
          <w:p w14:paraId="549188EF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Aktualizace PVRS</w:t>
            </w:r>
          </w:p>
        </w:tc>
        <w:tc>
          <w:tcPr>
            <w:tcW w:w="4795" w:type="dxa"/>
          </w:tcPr>
          <w:p w14:paraId="6E3F19F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Aktualizace PVRS umožňující další provoz některých regionálních sítí po dokončení přechodu na DVB-T2</w:t>
            </w:r>
          </w:p>
        </w:tc>
      </w:tr>
      <w:tr w:rsidR="0086569E" w:rsidRPr="00454AC3" w14:paraId="31A1CD8C" w14:textId="77777777" w:rsidTr="161AA48C">
        <w:tc>
          <w:tcPr>
            <w:tcW w:w="1418" w:type="dxa"/>
          </w:tcPr>
          <w:p w14:paraId="34CA7AC7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 </w:t>
            </w:r>
          </w:p>
          <w:p w14:paraId="56D4E960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Říjen</w:t>
            </w:r>
          </w:p>
        </w:tc>
        <w:tc>
          <w:tcPr>
            <w:tcW w:w="2849" w:type="dxa"/>
          </w:tcPr>
          <w:p w14:paraId="4109F3D9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Vypnutí posledních klíčových vysílačů sítí DVB-T</w:t>
            </w:r>
          </w:p>
        </w:tc>
        <w:tc>
          <w:tcPr>
            <w:tcW w:w="4795" w:type="dxa"/>
          </w:tcPr>
          <w:p w14:paraId="35DC9BDB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Uvolnění všech rádiových kmitočtů pásma 700 MHz dle TPP.</w:t>
            </w:r>
          </w:p>
          <w:p w14:paraId="6B53FA18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AE6D3F" w14:textId="133B74DC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Provoz 4 celoplošných sítí DVB-T2 nahrazujících původní celoplošné sítě DVB-T</w:t>
            </w:r>
          </w:p>
        </w:tc>
      </w:tr>
      <w:tr w:rsidR="0086569E" w:rsidRPr="00454AC3" w14:paraId="7FA703E4" w14:textId="77777777" w:rsidTr="161AA48C">
        <w:tc>
          <w:tcPr>
            <w:tcW w:w="1418" w:type="dxa"/>
          </w:tcPr>
          <w:p w14:paraId="27574E86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  <w:p w14:paraId="5B6C3C46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Říjen</w:t>
            </w:r>
          </w:p>
        </w:tc>
        <w:tc>
          <w:tcPr>
            <w:tcW w:w="2849" w:type="dxa"/>
          </w:tcPr>
          <w:p w14:paraId="62514236" w14:textId="77777777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Ukončení části regionálního vysílání </w:t>
            </w:r>
          </w:p>
        </w:tc>
        <w:tc>
          <w:tcPr>
            <w:tcW w:w="4795" w:type="dxa"/>
          </w:tcPr>
          <w:p w14:paraId="62660A53" w14:textId="5046DC7F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K 31. 10. 2020 bylo ukončeno regionální vysílání na kmitočtech z</w:t>
            </w:r>
            <w:r w:rsidR="000D3CC9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pásma 700 MHz nebo na dočasně zkoordinovaných kmitočtech.</w:t>
            </w:r>
          </w:p>
        </w:tc>
      </w:tr>
      <w:tr w:rsidR="0086569E" w:rsidRPr="0086569E" w14:paraId="0000F3AB" w14:textId="77777777" w:rsidTr="161AA48C">
        <w:tc>
          <w:tcPr>
            <w:tcW w:w="1418" w:type="dxa"/>
          </w:tcPr>
          <w:p w14:paraId="454D37B1" w14:textId="3A6424C1" w:rsidR="00762E7F" w:rsidRPr="00454AC3" w:rsidRDefault="36C327D6" w:rsidP="161AA4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2020 </w:t>
            </w:r>
            <w:r w:rsidR="00762E7F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2849" w:type="dxa"/>
          </w:tcPr>
          <w:p w14:paraId="3E5E5080" w14:textId="2FA3664A" w:rsidR="00762E7F" w:rsidRPr="00454AC3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Uvolnění pásma 700 MHz</w:t>
            </w:r>
          </w:p>
        </w:tc>
        <w:tc>
          <w:tcPr>
            <w:tcW w:w="4795" w:type="dxa"/>
          </w:tcPr>
          <w:p w14:paraId="4343181D" w14:textId="03343AB9" w:rsidR="00762E7F" w:rsidRPr="00677FD4" w:rsidRDefault="00762E7F" w:rsidP="6DFA66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K 1.</w:t>
            </w:r>
            <w:r w:rsidR="2945EAA3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  <w:r w:rsidR="2945EAA3"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54AC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bylo kompletně uvolněno pásmo 700 MHz pro IMT</w:t>
            </w:r>
          </w:p>
        </w:tc>
      </w:tr>
    </w:tbl>
    <w:p w14:paraId="6C73D057" w14:textId="77777777" w:rsidR="003C667F" w:rsidRPr="00677FD4" w:rsidRDefault="003C667F" w:rsidP="007B7961">
      <w:pP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4814E619" w14:textId="00159026" w:rsidR="00124860" w:rsidRPr="00677FD4" w:rsidRDefault="00124860" w:rsidP="6DFA6652">
      <w:pPr>
        <w:pStyle w:val="Odstavecseseznamem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sectPr w:rsidR="00124860" w:rsidRPr="00677F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0948" w14:textId="77777777" w:rsidR="00305B01" w:rsidRDefault="00305B01" w:rsidP="00930435">
      <w:pPr>
        <w:spacing w:after="0" w:line="240" w:lineRule="auto"/>
      </w:pPr>
      <w:r>
        <w:separator/>
      </w:r>
    </w:p>
  </w:endnote>
  <w:endnote w:type="continuationSeparator" w:id="0">
    <w:p w14:paraId="3EE3B4B9" w14:textId="77777777" w:rsidR="00305B01" w:rsidRDefault="00305B01" w:rsidP="00930435">
      <w:pPr>
        <w:spacing w:after="0" w:line="240" w:lineRule="auto"/>
      </w:pPr>
      <w:r>
        <w:continuationSeparator/>
      </w:r>
    </w:p>
  </w:endnote>
  <w:endnote w:type="continuationNotice" w:id="1">
    <w:p w14:paraId="46394551" w14:textId="77777777" w:rsidR="00305B01" w:rsidRDefault="00305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323334"/>
      <w:docPartObj>
        <w:docPartGallery w:val="Page Numbers (Bottom of Page)"/>
        <w:docPartUnique/>
      </w:docPartObj>
    </w:sdtPr>
    <w:sdtEndPr/>
    <w:sdtContent>
      <w:p w14:paraId="3068AC2B" w14:textId="66378DAE" w:rsidR="004B7D5E" w:rsidRDefault="004B7D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AA1B0AF" w14:textId="77777777" w:rsidR="004B7D5E" w:rsidRDefault="004B7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78E8" w14:textId="77777777" w:rsidR="00305B01" w:rsidRDefault="00305B01" w:rsidP="00930435">
      <w:pPr>
        <w:spacing w:after="0" w:line="240" w:lineRule="auto"/>
      </w:pPr>
      <w:r>
        <w:separator/>
      </w:r>
    </w:p>
  </w:footnote>
  <w:footnote w:type="continuationSeparator" w:id="0">
    <w:p w14:paraId="0CDBF2A0" w14:textId="77777777" w:rsidR="00305B01" w:rsidRDefault="00305B01" w:rsidP="00930435">
      <w:pPr>
        <w:spacing w:after="0" w:line="240" w:lineRule="auto"/>
      </w:pPr>
      <w:r>
        <w:continuationSeparator/>
      </w:r>
    </w:p>
  </w:footnote>
  <w:footnote w:type="continuationNotice" w:id="1">
    <w:p w14:paraId="72D0117C" w14:textId="77777777" w:rsidR="00305B01" w:rsidRDefault="00305B01">
      <w:pPr>
        <w:spacing w:after="0" w:line="240" w:lineRule="auto"/>
      </w:pPr>
    </w:p>
  </w:footnote>
  <w:footnote w:id="2">
    <w:p w14:paraId="21151CAC" w14:textId="12729610" w:rsidR="004B7D5E" w:rsidRDefault="004B7D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647966">
          <w:rPr>
            <w:rStyle w:val="Hypertextovodkaz"/>
          </w:rPr>
          <w:t>https://ec.europa.eu/newsroom/dae/document.cfm?doc_id=6721</w:t>
        </w:r>
      </w:hyperlink>
    </w:p>
  </w:footnote>
  <w:footnote w:id="3">
    <w:p w14:paraId="63FCF0E3" w14:textId="64652749" w:rsidR="004B7D5E" w:rsidRDefault="004B7D5E">
      <w:pPr>
        <w:pStyle w:val="Textpoznpodarou"/>
      </w:pPr>
      <w:r w:rsidRPr="00677FD4">
        <w:footnoteRef/>
      </w:r>
      <w:r>
        <w:t xml:space="preserve"> Podrobněji viz Příloha č.1 (část 4.).</w:t>
      </w:r>
    </w:p>
  </w:footnote>
  <w:footnote w:id="4">
    <w:p w14:paraId="113F38B8" w14:textId="77777777" w:rsidR="004B7D5E" w:rsidRPr="00677FD4" w:rsidRDefault="004B7D5E" w:rsidP="00397E79">
      <w:pPr>
        <w:pStyle w:val="Textpoznpodarou"/>
      </w:pPr>
      <w:r w:rsidRPr="00677FD4">
        <w:footnoteRef/>
      </w:r>
      <w:r>
        <w:t xml:space="preserve"> </w:t>
      </w:r>
      <w:r w:rsidRPr="00677FD4">
        <w:t>V případě údajů, souvisejících s připojením k internetu, je ovšem nutno být rezervovaný a interpretovat je zpravidla jako horní odhad. Důvodem je způsob sběru dat výzkumu prostřednictvím on-line sběru dat.</w:t>
      </w:r>
    </w:p>
  </w:footnote>
  <w:footnote w:id="5">
    <w:p w14:paraId="2D93E710" w14:textId="15EC813D" w:rsidR="004B7D5E" w:rsidRDefault="004B7D5E" w:rsidP="00BC5083">
      <w:pPr>
        <w:pStyle w:val="Textpoznpodarou"/>
      </w:pPr>
      <w:r>
        <w:rPr>
          <w:rStyle w:val="Znakapoznpodarou"/>
        </w:rPr>
        <w:footnoteRef/>
      </w:r>
      <w:r>
        <w:t xml:space="preserve"> Kontinuální výzkum ATO je realizován na bázi opakovaného výzkumu sledovanosti TV (v roce 2020 na výběrovém souboru 15 781 obyvatel). </w:t>
      </w:r>
    </w:p>
  </w:footnote>
  <w:footnote w:id="6">
    <w:p w14:paraId="351C8B5A" w14:textId="4A0917D0" w:rsidR="00AB6E0F" w:rsidRDefault="00AB6E0F">
      <w:pPr>
        <w:pStyle w:val="Textpoznpodarou"/>
      </w:pPr>
      <w:r>
        <w:rPr>
          <w:rStyle w:val="Znakapoznpodarou"/>
        </w:rPr>
        <w:footnoteRef/>
      </w:r>
      <w:r>
        <w:t xml:space="preserve"> Z hlediska efektivity využití rádiového spektra je nejvýhodnější využití v celoplošné vysílací sítí. Regionální využití je ovšem výhodnější než nevyužití spektra vůbec.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3CCE" w14:textId="77777777" w:rsidR="004B7D5E" w:rsidRDefault="004B7D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85E"/>
    <w:multiLevelType w:val="multilevel"/>
    <w:tmpl w:val="BDEA5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DE67DF"/>
    <w:multiLevelType w:val="hybridMultilevel"/>
    <w:tmpl w:val="7B68B5B6"/>
    <w:lvl w:ilvl="0" w:tplc="B8C4E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1D"/>
    <w:multiLevelType w:val="hybridMultilevel"/>
    <w:tmpl w:val="4220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92D"/>
    <w:multiLevelType w:val="hybridMultilevel"/>
    <w:tmpl w:val="4754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CFE"/>
    <w:multiLevelType w:val="multilevel"/>
    <w:tmpl w:val="2C5E6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001BED"/>
    <w:multiLevelType w:val="hybridMultilevel"/>
    <w:tmpl w:val="78003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1EC6"/>
    <w:multiLevelType w:val="hybridMultilevel"/>
    <w:tmpl w:val="DB92ED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571A"/>
    <w:multiLevelType w:val="hybridMultilevel"/>
    <w:tmpl w:val="94367B0A"/>
    <w:lvl w:ilvl="0" w:tplc="A72CB3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7CAD"/>
    <w:multiLevelType w:val="multilevel"/>
    <w:tmpl w:val="0405001D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9" w15:restartNumberingAfterBreak="0">
    <w:nsid w:val="663660F9"/>
    <w:multiLevelType w:val="hybridMultilevel"/>
    <w:tmpl w:val="0C08E1B6"/>
    <w:lvl w:ilvl="0" w:tplc="CFD4B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71D8"/>
    <w:multiLevelType w:val="multilevel"/>
    <w:tmpl w:val="4F42F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A20E67"/>
    <w:multiLevelType w:val="hybridMultilevel"/>
    <w:tmpl w:val="709EB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E4FEB"/>
    <w:multiLevelType w:val="multilevel"/>
    <w:tmpl w:val="5AE69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BA71AC"/>
    <w:multiLevelType w:val="hybridMultilevel"/>
    <w:tmpl w:val="755A99A2"/>
    <w:lvl w:ilvl="0" w:tplc="B310DD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C4A87"/>
    <w:multiLevelType w:val="hybridMultilevel"/>
    <w:tmpl w:val="5328866C"/>
    <w:lvl w:ilvl="0" w:tplc="CFD4B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3867"/>
    <w:multiLevelType w:val="hybridMultilevel"/>
    <w:tmpl w:val="5D586A6E"/>
    <w:lvl w:ilvl="0" w:tplc="A72CB392">
      <w:start w:val="2"/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5"/>
    <w:rsid w:val="00002A27"/>
    <w:rsid w:val="00004E8B"/>
    <w:rsid w:val="00005BAC"/>
    <w:rsid w:val="00005BAF"/>
    <w:rsid w:val="00005F10"/>
    <w:rsid w:val="0001160C"/>
    <w:rsid w:val="0001362A"/>
    <w:rsid w:val="000154AA"/>
    <w:rsid w:val="000168FF"/>
    <w:rsid w:val="00021473"/>
    <w:rsid w:val="00022273"/>
    <w:rsid w:val="00026A46"/>
    <w:rsid w:val="0002789E"/>
    <w:rsid w:val="00027D92"/>
    <w:rsid w:val="00033DED"/>
    <w:rsid w:val="0003449A"/>
    <w:rsid w:val="000402A5"/>
    <w:rsid w:val="000450A7"/>
    <w:rsid w:val="00046171"/>
    <w:rsid w:val="00047DC5"/>
    <w:rsid w:val="000546D4"/>
    <w:rsid w:val="00054D3B"/>
    <w:rsid w:val="00054EA3"/>
    <w:rsid w:val="00057591"/>
    <w:rsid w:val="00057EAF"/>
    <w:rsid w:val="0006488C"/>
    <w:rsid w:val="00071F7B"/>
    <w:rsid w:val="0007571F"/>
    <w:rsid w:val="000807B3"/>
    <w:rsid w:val="0008191D"/>
    <w:rsid w:val="00091471"/>
    <w:rsid w:val="00097538"/>
    <w:rsid w:val="000975C3"/>
    <w:rsid w:val="000A0822"/>
    <w:rsid w:val="000A5DEA"/>
    <w:rsid w:val="000A646F"/>
    <w:rsid w:val="000A770F"/>
    <w:rsid w:val="000B3710"/>
    <w:rsid w:val="000B60DD"/>
    <w:rsid w:val="000B7B38"/>
    <w:rsid w:val="000B7B3A"/>
    <w:rsid w:val="000C546C"/>
    <w:rsid w:val="000C7621"/>
    <w:rsid w:val="000D3CC9"/>
    <w:rsid w:val="000D5FAE"/>
    <w:rsid w:val="000D64DF"/>
    <w:rsid w:val="000D6A89"/>
    <w:rsid w:val="000E006A"/>
    <w:rsid w:val="000E04BB"/>
    <w:rsid w:val="000E0F3D"/>
    <w:rsid w:val="000E31A1"/>
    <w:rsid w:val="000E36E7"/>
    <w:rsid w:val="000E3FA0"/>
    <w:rsid w:val="000E4420"/>
    <w:rsid w:val="000E4737"/>
    <w:rsid w:val="000E7267"/>
    <w:rsid w:val="000E7F0A"/>
    <w:rsid w:val="000F063F"/>
    <w:rsid w:val="000F153F"/>
    <w:rsid w:val="000F1A70"/>
    <w:rsid w:val="000F2C03"/>
    <w:rsid w:val="000F3639"/>
    <w:rsid w:val="000F61D3"/>
    <w:rsid w:val="000F7754"/>
    <w:rsid w:val="001052CB"/>
    <w:rsid w:val="00113202"/>
    <w:rsid w:val="00113A30"/>
    <w:rsid w:val="00113A55"/>
    <w:rsid w:val="00124860"/>
    <w:rsid w:val="00130AD8"/>
    <w:rsid w:val="0013333A"/>
    <w:rsid w:val="001339FB"/>
    <w:rsid w:val="00143C9B"/>
    <w:rsid w:val="0014416B"/>
    <w:rsid w:val="0014539E"/>
    <w:rsid w:val="00145C35"/>
    <w:rsid w:val="00146EF8"/>
    <w:rsid w:val="0015683A"/>
    <w:rsid w:val="00161D59"/>
    <w:rsid w:val="00164E44"/>
    <w:rsid w:val="00172830"/>
    <w:rsid w:val="001765F1"/>
    <w:rsid w:val="00184A25"/>
    <w:rsid w:val="00185471"/>
    <w:rsid w:val="00186F10"/>
    <w:rsid w:val="00191689"/>
    <w:rsid w:val="001929C1"/>
    <w:rsid w:val="001A0CB7"/>
    <w:rsid w:val="001A1C85"/>
    <w:rsid w:val="001A3E96"/>
    <w:rsid w:val="001A40E2"/>
    <w:rsid w:val="001A47BC"/>
    <w:rsid w:val="001A71C7"/>
    <w:rsid w:val="001A7DED"/>
    <w:rsid w:val="001B1142"/>
    <w:rsid w:val="001B1332"/>
    <w:rsid w:val="001B2D27"/>
    <w:rsid w:val="001B4FE3"/>
    <w:rsid w:val="001B72BB"/>
    <w:rsid w:val="001C083A"/>
    <w:rsid w:val="001C2081"/>
    <w:rsid w:val="001C22DD"/>
    <w:rsid w:val="001D0A03"/>
    <w:rsid w:val="001D1416"/>
    <w:rsid w:val="001D5BFF"/>
    <w:rsid w:val="001D5FF8"/>
    <w:rsid w:val="001E01BA"/>
    <w:rsid w:val="001E3258"/>
    <w:rsid w:val="001E4DB1"/>
    <w:rsid w:val="001E5F10"/>
    <w:rsid w:val="001E690B"/>
    <w:rsid w:val="001F3CB9"/>
    <w:rsid w:val="002031FA"/>
    <w:rsid w:val="002049C4"/>
    <w:rsid w:val="00210912"/>
    <w:rsid w:val="00210E2C"/>
    <w:rsid w:val="00213402"/>
    <w:rsid w:val="00216449"/>
    <w:rsid w:val="00221C3C"/>
    <w:rsid w:val="002227AE"/>
    <w:rsid w:val="00225A8C"/>
    <w:rsid w:val="002348AA"/>
    <w:rsid w:val="00234CE3"/>
    <w:rsid w:val="00234E16"/>
    <w:rsid w:val="00236D34"/>
    <w:rsid w:val="00242E78"/>
    <w:rsid w:val="0024503A"/>
    <w:rsid w:val="00251093"/>
    <w:rsid w:val="0025125A"/>
    <w:rsid w:val="0025313C"/>
    <w:rsid w:val="00254B0C"/>
    <w:rsid w:val="00255C13"/>
    <w:rsid w:val="00255C29"/>
    <w:rsid w:val="0025638D"/>
    <w:rsid w:val="002563FB"/>
    <w:rsid w:val="00256A28"/>
    <w:rsid w:val="002622C3"/>
    <w:rsid w:val="00263222"/>
    <w:rsid w:val="00266746"/>
    <w:rsid w:val="00267CE1"/>
    <w:rsid w:val="0027073F"/>
    <w:rsid w:val="002719CE"/>
    <w:rsid w:val="00272C47"/>
    <w:rsid w:val="002738D2"/>
    <w:rsid w:val="00274948"/>
    <w:rsid w:val="00274A2C"/>
    <w:rsid w:val="0027543F"/>
    <w:rsid w:val="002762AD"/>
    <w:rsid w:val="00277904"/>
    <w:rsid w:val="002813A1"/>
    <w:rsid w:val="00282740"/>
    <w:rsid w:val="00282A6E"/>
    <w:rsid w:val="00282E6D"/>
    <w:rsid w:val="00286DA0"/>
    <w:rsid w:val="0028785E"/>
    <w:rsid w:val="002900E8"/>
    <w:rsid w:val="00290CF5"/>
    <w:rsid w:val="00291274"/>
    <w:rsid w:val="002912BC"/>
    <w:rsid w:val="00292857"/>
    <w:rsid w:val="002A0D7B"/>
    <w:rsid w:val="002A76C7"/>
    <w:rsid w:val="002B3884"/>
    <w:rsid w:val="002B3C98"/>
    <w:rsid w:val="002B3F70"/>
    <w:rsid w:val="002B76E0"/>
    <w:rsid w:val="002C01A9"/>
    <w:rsid w:val="002C20D1"/>
    <w:rsid w:val="002C41CA"/>
    <w:rsid w:val="002C63E9"/>
    <w:rsid w:val="002D5853"/>
    <w:rsid w:val="002E2046"/>
    <w:rsid w:val="002E288B"/>
    <w:rsid w:val="002E28A6"/>
    <w:rsid w:val="002E4F1C"/>
    <w:rsid w:val="002F0C3C"/>
    <w:rsid w:val="002F1B9F"/>
    <w:rsid w:val="00301495"/>
    <w:rsid w:val="0030232A"/>
    <w:rsid w:val="003037AB"/>
    <w:rsid w:val="00303A43"/>
    <w:rsid w:val="00303A44"/>
    <w:rsid w:val="00305A6B"/>
    <w:rsid w:val="00305B01"/>
    <w:rsid w:val="003115B9"/>
    <w:rsid w:val="00316AA8"/>
    <w:rsid w:val="0032172A"/>
    <w:rsid w:val="003244C9"/>
    <w:rsid w:val="0032702A"/>
    <w:rsid w:val="0033059C"/>
    <w:rsid w:val="00333852"/>
    <w:rsid w:val="00335062"/>
    <w:rsid w:val="00335B46"/>
    <w:rsid w:val="0033695E"/>
    <w:rsid w:val="003374A8"/>
    <w:rsid w:val="00342341"/>
    <w:rsid w:val="0034266E"/>
    <w:rsid w:val="00343A7A"/>
    <w:rsid w:val="003504D1"/>
    <w:rsid w:val="00360225"/>
    <w:rsid w:val="00362229"/>
    <w:rsid w:val="0036301F"/>
    <w:rsid w:val="00363EBA"/>
    <w:rsid w:val="00365E1E"/>
    <w:rsid w:val="00366CCF"/>
    <w:rsid w:val="0037459D"/>
    <w:rsid w:val="00374FCA"/>
    <w:rsid w:val="0037519C"/>
    <w:rsid w:val="003873AE"/>
    <w:rsid w:val="003877A4"/>
    <w:rsid w:val="0039104B"/>
    <w:rsid w:val="003915C1"/>
    <w:rsid w:val="00392BD0"/>
    <w:rsid w:val="003941DC"/>
    <w:rsid w:val="00394E4E"/>
    <w:rsid w:val="00395F81"/>
    <w:rsid w:val="00396BAD"/>
    <w:rsid w:val="00396DD1"/>
    <w:rsid w:val="00397E79"/>
    <w:rsid w:val="003A2530"/>
    <w:rsid w:val="003A270D"/>
    <w:rsid w:val="003A29CF"/>
    <w:rsid w:val="003A572A"/>
    <w:rsid w:val="003A79A5"/>
    <w:rsid w:val="003B0045"/>
    <w:rsid w:val="003B1942"/>
    <w:rsid w:val="003B4C2D"/>
    <w:rsid w:val="003C62BC"/>
    <w:rsid w:val="003C667F"/>
    <w:rsid w:val="003D0CA7"/>
    <w:rsid w:val="003D1AE8"/>
    <w:rsid w:val="003D26F6"/>
    <w:rsid w:val="003D4830"/>
    <w:rsid w:val="003D4833"/>
    <w:rsid w:val="003D51FA"/>
    <w:rsid w:val="003D6788"/>
    <w:rsid w:val="003E339F"/>
    <w:rsid w:val="003E4060"/>
    <w:rsid w:val="003E5250"/>
    <w:rsid w:val="003F2BB0"/>
    <w:rsid w:val="003F4988"/>
    <w:rsid w:val="003F5825"/>
    <w:rsid w:val="00400506"/>
    <w:rsid w:val="0040240D"/>
    <w:rsid w:val="00410EF1"/>
    <w:rsid w:val="00411F4D"/>
    <w:rsid w:val="00412C20"/>
    <w:rsid w:val="0041332B"/>
    <w:rsid w:val="00416A67"/>
    <w:rsid w:val="00416F06"/>
    <w:rsid w:val="00417AE5"/>
    <w:rsid w:val="00423CD6"/>
    <w:rsid w:val="00424E5A"/>
    <w:rsid w:val="004333F0"/>
    <w:rsid w:val="00433C44"/>
    <w:rsid w:val="00436625"/>
    <w:rsid w:val="00436A47"/>
    <w:rsid w:val="00440647"/>
    <w:rsid w:val="00440918"/>
    <w:rsid w:val="00440A9D"/>
    <w:rsid w:val="004424FC"/>
    <w:rsid w:val="00444295"/>
    <w:rsid w:val="00451E82"/>
    <w:rsid w:val="00452991"/>
    <w:rsid w:val="00454AC3"/>
    <w:rsid w:val="00455823"/>
    <w:rsid w:val="00457125"/>
    <w:rsid w:val="00461433"/>
    <w:rsid w:val="0046386C"/>
    <w:rsid w:val="00470312"/>
    <w:rsid w:val="004710FB"/>
    <w:rsid w:val="004739AA"/>
    <w:rsid w:val="004810ED"/>
    <w:rsid w:val="004814F8"/>
    <w:rsid w:val="00483B84"/>
    <w:rsid w:val="004844C2"/>
    <w:rsid w:val="00486B61"/>
    <w:rsid w:val="00486DDB"/>
    <w:rsid w:val="00487E8D"/>
    <w:rsid w:val="0049206B"/>
    <w:rsid w:val="00495565"/>
    <w:rsid w:val="004955B6"/>
    <w:rsid w:val="004967AC"/>
    <w:rsid w:val="004A3D1F"/>
    <w:rsid w:val="004A5E10"/>
    <w:rsid w:val="004A766B"/>
    <w:rsid w:val="004B144E"/>
    <w:rsid w:val="004B17BE"/>
    <w:rsid w:val="004B329E"/>
    <w:rsid w:val="004B3609"/>
    <w:rsid w:val="004B3B1E"/>
    <w:rsid w:val="004B3CE6"/>
    <w:rsid w:val="004B7D5E"/>
    <w:rsid w:val="004C311C"/>
    <w:rsid w:val="004C3C86"/>
    <w:rsid w:val="004C628F"/>
    <w:rsid w:val="004D0D69"/>
    <w:rsid w:val="004D0D77"/>
    <w:rsid w:val="004D143F"/>
    <w:rsid w:val="004D42EC"/>
    <w:rsid w:val="004D7988"/>
    <w:rsid w:val="004E147E"/>
    <w:rsid w:val="004F2E11"/>
    <w:rsid w:val="004F40F7"/>
    <w:rsid w:val="004F43E3"/>
    <w:rsid w:val="005019B2"/>
    <w:rsid w:val="00504083"/>
    <w:rsid w:val="005049CD"/>
    <w:rsid w:val="0050660F"/>
    <w:rsid w:val="005072E3"/>
    <w:rsid w:val="00507C1F"/>
    <w:rsid w:val="005114E9"/>
    <w:rsid w:val="00515C83"/>
    <w:rsid w:val="00523FFD"/>
    <w:rsid w:val="00525C5E"/>
    <w:rsid w:val="00532A18"/>
    <w:rsid w:val="005330F6"/>
    <w:rsid w:val="00533ECE"/>
    <w:rsid w:val="0053640E"/>
    <w:rsid w:val="00537393"/>
    <w:rsid w:val="00537D16"/>
    <w:rsid w:val="0054249D"/>
    <w:rsid w:val="00542F00"/>
    <w:rsid w:val="00545D94"/>
    <w:rsid w:val="00546286"/>
    <w:rsid w:val="00546722"/>
    <w:rsid w:val="00547941"/>
    <w:rsid w:val="00551908"/>
    <w:rsid w:val="005538C7"/>
    <w:rsid w:val="00553DBA"/>
    <w:rsid w:val="005561B0"/>
    <w:rsid w:val="005621EB"/>
    <w:rsid w:val="0057305D"/>
    <w:rsid w:val="005732F7"/>
    <w:rsid w:val="00576625"/>
    <w:rsid w:val="0057696E"/>
    <w:rsid w:val="00577840"/>
    <w:rsid w:val="00580177"/>
    <w:rsid w:val="005838CE"/>
    <w:rsid w:val="00595567"/>
    <w:rsid w:val="005A4E9E"/>
    <w:rsid w:val="005A5291"/>
    <w:rsid w:val="005A5A80"/>
    <w:rsid w:val="005A6B03"/>
    <w:rsid w:val="005A766B"/>
    <w:rsid w:val="005A7D3A"/>
    <w:rsid w:val="005C019B"/>
    <w:rsid w:val="005C41BE"/>
    <w:rsid w:val="005C5559"/>
    <w:rsid w:val="005C75F8"/>
    <w:rsid w:val="005D346A"/>
    <w:rsid w:val="005D71CA"/>
    <w:rsid w:val="005E12BF"/>
    <w:rsid w:val="005E4177"/>
    <w:rsid w:val="005E4BAA"/>
    <w:rsid w:val="005E56E8"/>
    <w:rsid w:val="005E7278"/>
    <w:rsid w:val="005E765F"/>
    <w:rsid w:val="005F0C1A"/>
    <w:rsid w:val="005F0EC8"/>
    <w:rsid w:val="005F1BA8"/>
    <w:rsid w:val="005F6EE6"/>
    <w:rsid w:val="00612B71"/>
    <w:rsid w:val="00615368"/>
    <w:rsid w:val="006155EB"/>
    <w:rsid w:val="006163D2"/>
    <w:rsid w:val="00616888"/>
    <w:rsid w:val="0062719C"/>
    <w:rsid w:val="00631A62"/>
    <w:rsid w:val="00631FF9"/>
    <w:rsid w:val="00636DB4"/>
    <w:rsid w:val="006436EC"/>
    <w:rsid w:val="006466B5"/>
    <w:rsid w:val="00647966"/>
    <w:rsid w:val="00650CC9"/>
    <w:rsid w:val="0065244D"/>
    <w:rsid w:val="006541F3"/>
    <w:rsid w:val="006572B7"/>
    <w:rsid w:val="00660A92"/>
    <w:rsid w:val="00663CC3"/>
    <w:rsid w:val="006702EC"/>
    <w:rsid w:val="0067372E"/>
    <w:rsid w:val="0067633B"/>
    <w:rsid w:val="00677191"/>
    <w:rsid w:val="00677FD4"/>
    <w:rsid w:val="00680CF0"/>
    <w:rsid w:val="0068237E"/>
    <w:rsid w:val="00690F50"/>
    <w:rsid w:val="00691DF8"/>
    <w:rsid w:val="00697FA7"/>
    <w:rsid w:val="006A7E21"/>
    <w:rsid w:val="006B1A99"/>
    <w:rsid w:val="006B1F0A"/>
    <w:rsid w:val="006B6B5D"/>
    <w:rsid w:val="006B6E61"/>
    <w:rsid w:val="006C06E9"/>
    <w:rsid w:val="006C26E4"/>
    <w:rsid w:val="006C4968"/>
    <w:rsid w:val="006C500C"/>
    <w:rsid w:val="006C7639"/>
    <w:rsid w:val="006D0ED9"/>
    <w:rsid w:val="006D42E8"/>
    <w:rsid w:val="006D5B53"/>
    <w:rsid w:val="006D677D"/>
    <w:rsid w:val="006D6B8F"/>
    <w:rsid w:val="006D76BA"/>
    <w:rsid w:val="006D7DF4"/>
    <w:rsid w:val="006E7B5B"/>
    <w:rsid w:val="006F54E0"/>
    <w:rsid w:val="006F5BFC"/>
    <w:rsid w:val="00700D92"/>
    <w:rsid w:val="00702421"/>
    <w:rsid w:val="0070308D"/>
    <w:rsid w:val="00703108"/>
    <w:rsid w:val="0070698A"/>
    <w:rsid w:val="0071403C"/>
    <w:rsid w:val="007141CA"/>
    <w:rsid w:val="00715871"/>
    <w:rsid w:val="007214DF"/>
    <w:rsid w:val="00721BD7"/>
    <w:rsid w:val="00723B64"/>
    <w:rsid w:val="00723DFA"/>
    <w:rsid w:val="007254C8"/>
    <w:rsid w:val="007337E3"/>
    <w:rsid w:val="00735787"/>
    <w:rsid w:val="0073621D"/>
    <w:rsid w:val="007461E4"/>
    <w:rsid w:val="00753EC1"/>
    <w:rsid w:val="00756498"/>
    <w:rsid w:val="00756809"/>
    <w:rsid w:val="00762E7F"/>
    <w:rsid w:val="007672CE"/>
    <w:rsid w:val="0077600B"/>
    <w:rsid w:val="00776028"/>
    <w:rsid w:val="00776621"/>
    <w:rsid w:val="00780D75"/>
    <w:rsid w:val="007845DA"/>
    <w:rsid w:val="00786FE8"/>
    <w:rsid w:val="0079303D"/>
    <w:rsid w:val="0079376A"/>
    <w:rsid w:val="00794DDE"/>
    <w:rsid w:val="00797E10"/>
    <w:rsid w:val="007A4C7D"/>
    <w:rsid w:val="007A5037"/>
    <w:rsid w:val="007A5346"/>
    <w:rsid w:val="007A7D07"/>
    <w:rsid w:val="007B0FCE"/>
    <w:rsid w:val="007B1701"/>
    <w:rsid w:val="007B1BBE"/>
    <w:rsid w:val="007B5145"/>
    <w:rsid w:val="007B5BAA"/>
    <w:rsid w:val="007B7961"/>
    <w:rsid w:val="007C1535"/>
    <w:rsid w:val="007C2DCB"/>
    <w:rsid w:val="007C5863"/>
    <w:rsid w:val="007C6190"/>
    <w:rsid w:val="007C668F"/>
    <w:rsid w:val="007D38EC"/>
    <w:rsid w:val="007E278D"/>
    <w:rsid w:val="007E55AF"/>
    <w:rsid w:val="007E7879"/>
    <w:rsid w:val="007F4703"/>
    <w:rsid w:val="008046BA"/>
    <w:rsid w:val="0081515F"/>
    <w:rsid w:val="00824A75"/>
    <w:rsid w:val="0082693D"/>
    <w:rsid w:val="008328E6"/>
    <w:rsid w:val="0083402B"/>
    <w:rsid w:val="00834454"/>
    <w:rsid w:val="00834D3B"/>
    <w:rsid w:val="008352C9"/>
    <w:rsid w:val="00835935"/>
    <w:rsid w:val="00840BC9"/>
    <w:rsid w:val="00841ACB"/>
    <w:rsid w:val="00844C67"/>
    <w:rsid w:val="008450B7"/>
    <w:rsid w:val="00856DFC"/>
    <w:rsid w:val="00856F83"/>
    <w:rsid w:val="0086569E"/>
    <w:rsid w:val="0087181F"/>
    <w:rsid w:val="0087300B"/>
    <w:rsid w:val="0087421C"/>
    <w:rsid w:val="00887E1A"/>
    <w:rsid w:val="00891135"/>
    <w:rsid w:val="00891B3D"/>
    <w:rsid w:val="008936B8"/>
    <w:rsid w:val="00893F1F"/>
    <w:rsid w:val="00894C38"/>
    <w:rsid w:val="00895B3A"/>
    <w:rsid w:val="00896355"/>
    <w:rsid w:val="008A2A54"/>
    <w:rsid w:val="008A5106"/>
    <w:rsid w:val="008A7CE2"/>
    <w:rsid w:val="008B03CE"/>
    <w:rsid w:val="008B2075"/>
    <w:rsid w:val="008B253E"/>
    <w:rsid w:val="008C3D06"/>
    <w:rsid w:val="008D01E2"/>
    <w:rsid w:val="008D71D4"/>
    <w:rsid w:val="008D7F84"/>
    <w:rsid w:val="008E09F1"/>
    <w:rsid w:val="008F03BE"/>
    <w:rsid w:val="008F1104"/>
    <w:rsid w:val="008F560B"/>
    <w:rsid w:val="008F6874"/>
    <w:rsid w:val="008F784F"/>
    <w:rsid w:val="00900F45"/>
    <w:rsid w:val="009014B2"/>
    <w:rsid w:val="00901F05"/>
    <w:rsid w:val="00902955"/>
    <w:rsid w:val="00902C4C"/>
    <w:rsid w:val="0090695B"/>
    <w:rsid w:val="00907D49"/>
    <w:rsid w:val="00911C8D"/>
    <w:rsid w:val="00915C41"/>
    <w:rsid w:val="00917FBF"/>
    <w:rsid w:val="00922A41"/>
    <w:rsid w:val="00930435"/>
    <w:rsid w:val="00931A27"/>
    <w:rsid w:val="0093361C"/>
    <w:rsid w:val="00933688"/>
    <w:rsid w:val="00934CE8"/>
    <w:rsid w:val="009357B3"/>
    <w:rsid w:val="009362D5"/>
    <w:rsid w:val="009368EB"/>
    <w:rsid w:val="009373A3"/>
    <w:rsid w:val="009432FD"/>
    <w:rsid w:val="009511AF"/>
    <w:rsid w:val="0095324A"/>
    <w:rsid w:val="00955D08"/>
    <w:rsid w:val="00962C67"/>
    <w:rsid w:val="00963B31"/>
    <w:rsid w:val="00964163"/>
    <w:rsid w:val="00964D9D"/>
    <w:rsid w:val="00965410"/>
    <w:rsid w:val="0096561C"/>
    <w:rsid w:val="00965CC1"/>
    <w:rsid w:val="009716A5"/>
    <w:rsid w:val="009758E5"/>
    <w:rsid w:val="00980034"/>
    <w:rsid w:val="0098103E"/>
    <w:rsid w:val="00981561"/>
    <w:rsid w:val="009834BB"/>
    <w:rsid w:val="009846E6"/>
    <w:rsid w:val="00986AAA"/>
    <w:rsid w:val="00993C86"/>
    <w:rsid w:val="00995B5E"/>
    <w:rsid w:val="009A2A76"/>
    <w:rsid w:val="009A39F7"/>
    <w:rsid w:val="009A40B1"/>
    <w:rsid w:val="009A46ED"/>
    <w:rsid w:val="009A56CA"/>
    <w:rsid w:val="009B13B9"/>
    <w:rsid w:val="009B36F9"/>
    <w:rsid w:val="009C078F"/>
    <w:rsid w:val="009C44D7"/>
    <w:rsid w:val="009C6BC0"/>
    <w:rsid w:val="009D02DB"/>
    <w:rsid w:val="009D35E1"/>
    <w:rsid w:val="009D4EFD"/>
    <w:rsid w:val="009D6B6F"/>
    <w:rsid w:val="009D7EEB"/>
    <w:rsid w:val="009E51E0"/>
    <w:rsid w:val="009F1293"/>
    <w:rsid w:val="009F1303"/>
    <w:rsid w:val="009F4982"/>
    <w:rsid w:val="00A027C0"/>
    <w:rsid w:val="00A07E04"/>
    <w:rsid w:val="00A1253C"/>
    <w:rsid w:val="00A13D34"/>
    <w:rsid w:val="00A1541D"/>
    <w:rsid w:val="00A17FB1"/>
    <w:rsid w:val="00A20597"/>
    <w:rsid w:val="00A210D8"/>
    <w:rsid w:val="00A2188B"/>
    <w:rsid w:val="00A218BB"/>
    <w:rsid w:val="00A21AE9"/>
    <w:rsid w:val="00A2368A"/>
    <w:rsid w:val="00A23EAA"/>
    <w:rsid w:val="00A248C8"/>
    <w:rsid w:val="00A24AF5"/>
    <w:rsid w:val="00A32511"/>
    <w:rsid w:val="00A3252F"/>
    <w:rsid w:val="00A32EE6"/>
    <w:rsid w:val="00A3388E"/>
    <w:rsid w:val="00A369F4"/>
    <w:rsid w:val="00A432B8"/>
    <w:rsid w:val="00A44556"/>
    <w:rsid w:val="00A45B4C"/>
    <w:rsid w:val="00A469B1"/>
    <w:rsid w:val="00A47937"/>
    <w:rsid w:val="00A511F7"/>
    <w:rsid w:val="00A545C0"/>
    <w:rsid w:val="00A5559D"/>
    <w:rsid w:val="00A6103F"/>
    <w:rsid w:val="00A62435"/>
    <w:rsid w:val="00A6303D"/>
    <w:rsid w:val="00A66165"/>
    <w:rsid w:val="00A67522"/>
    <w:rsid w:val="00A836C9"/>
    <w:rsid w:val="00A83F2D"/>
    <w:rsid w:val="00A84813"/>
    <w:rsid w:val="00A91060"/>
    <w:rsid w:val="00A9494B"/>
    <w:rsid w:val="00A950DC"/>
    <w:rsid w:val="00A97C0A"/>
    <w:rsid w:val="00AA092B"/>
    <w:rsid w:val="00AA6034"/>
    <w:rsid w:val="00AA7A2E"/>
    <w:rsid w:val="00AB565A"/>
    <w:rsid w:val="00AB6E0F"/>
    <w:rsid w:val="00AC20B2"/>
    <w:rsid w:val="00AC277D"/>
    <w:rsid w:val="00AD026A"/>
    <w:rsid w:val="00AD0E35"/>
    <w:rsid w:val="00AD140C"/>
    <w:rsid w:val="00AD2F68"/>
    <w:rsid w:val="00AD42D5"/>
    <w:rsid w:val="00AD5F3C"/>
    <w:rsid w:val="00AD6557"/>
    <w:rsid w:val="00AD7201"/>
    <w:rsid w:val="00AE154E"/>
    <w:rsid w:val="00AE309D"/>
    <w:rsid w:val="00AE6AC2"/>
    <w:rsid w:val="00AF1B54"/>
    <w:rsid w:val="00AF558B"/>
    <w:rsid w:val="00B01E87"/>
    <w:rsid w:val="00B058BD"/>
    <w:rsid w:val="00B0687D"/>
    <w:rsid w:val="00B1188A"/>
    <w:rsid w:val="00B161D7"/>
    <w:rsid w:val="00B17173"/>
    <w:rsid w:val="00B24B82"/>
    <w:rsid w:val="00B36647"/>
    <w:rsid w:val="00B37194"/>
    <w:rsid w:val="00B45290"/>
    <w:rsid w:val="00B557FE"/>
    <w:rsid w:val="00B57B82"/>
    <w:rsid w:val="00B6089E"/>
    <w:rsid w:val="00B62305"/>
    <w:rsid w:val="00B656B3"/>
    <w:rsid w:val="00B664E0"/>
    <w:rsid w:val="00B66E3A"/>
    <w:rsid w:val="00B71C3C"/>
    <w:rsid w:val="00B8026E"/>
    <w:rsid w:val="00B84DCF"/>
    <w:rsid w:val="00B92D73"/>
    <w:rsid w:val="00B937CC"/>
    <w:rsid w:val="00B9552B"/>
    <w:rsid w:val="00BA7050"/>
    <w:rsid w:val="00BA7B27"/>
    <w:rsid w:val="00BC3FD1"/>
    <w:rsid w:val="00BC5083"/>
    <w:rsid w:val="00BC58D4"/>
    <w:rsid w:val="00BC62F2"/>
    <w:rsid w:val="00BE03EB"/>
    <w:rsid w:val="00BE1F80"/>
    <w:rsid w:val="00BE2235"/>
    <w:rsid w:val="00BE4CF6"/>
    <w:rsid w:val="00BE601A"/>
    <w:rsid w:val="00BE64E2"/>
    <w:rsid w:val="00BF1596"/>
    <w:rsid w:val="00BF2547"/>
    <w:rsid w:val="00BF4D2C"/>
    <w:rsid w:val="00BF61A8"/>
    <w:rsid w:val="00BF6A06"/>
    <w:rsid w:val="00C004D3"/>
    <w:rsid w:val="00C006DF"/>
    <w:rsid w:val="00C07EAC"/>
    <w:rsid w:val="00C10273"/>
    <w:rsid w:val="00C10DB2"/>
    <w:rsid w:val="00C1717B"/>
    <w:rsid w:val="00C173C7"/>
    <w:rsid w:val="00C200A8"/>
    <w:rsid w:val="00C21B76"/>
    <w:rsid w:val="00C22055"/>
    <w:rsid w:val="00C23391"/>
    <w:rsid w:val="00C24899"/>
    <w:rsid w:val="00C26ED3"/>
    <w:rsid w:val="00C30365"/>
    <w:rsid w:val="00C32FCC"/>
    <w:rsid w:val="00C33000"/>
    <w:rsid w:val="00C36CEB"/>
    <w:rsid w:val="00C370EA"/>
    <w:rsid w:val="00C47F2C"/>
    <w:rsid w:val="00C52169"/>
    <w:rsid w:val="00C52451"/>
    <w:rsid w:val="00C540E5"/>
    <w:rsid w:val="00C57985"/>
    <w:rsid w:val="00C626C6"/>
    <w:rsid w:val="00C643EC"/>
    <w:rsid w:val="00C658D4"/>
    <w:rsid w:val="00C65FC3"/>
    <w:rsid w:val="00C6689F"/>
    <w:rsid w:val="00C66AA6"/>
    <w:rsid w:val="00C7164F"/>
    <w:rsid w:val="00C7274E"/>
    <w:rsid w:val="00C777D5"/>
    <w:rsid w:val="00C80B31"/>
    <w:rsid w:val="00C80D3E"/>
    <w:rsid w:val="00C844BB"/>
    <w:rsid w:val="00CA0C2F"/>
    <w:rsid w:val="00CB4CBF"/>
    <w:rsid w:val="00CB69C5"/>
    <w:rsid w:val="00CB6B69"/>
    <w:rsid w:val="00CB7C2E"/>
    <w:rsid w:val="00CC0084"/>
    <w:rsid w:val="00CC6359"/>
    <w:rsid w:val="00CC6DB4"/>
    <w:rsid w:val="00CD1843"/>
    <w:rsid w:val="00CD7233"/>
    <w:rsid w:val="00CE2202"/>
    <w:rsid w:val="00CE7E61"/>
    <w:rsid w:val="00CF1DDD"/>
    <w:rsid w:val="00CF7860"/>
    <w:rsid w:val="00CF7895"/>
    <w:rsid w:val="00D01E87"/>
    <w:rsid w:val="00D03459"/>
    <w:rsid w:val="00D05833"/>
    <w:rsid w:val="00D068BE"/>
    <w:rsid w:val="00D11A30"/>
    <w:rsid w:val="00D12925"/>
    <w:rsid w:val="00D13102"/>
    <w:rsid w:val="00D13878"/>
    <w:rsid w:val="00D156F1"/>
    <w:rsid w:val="00D21641"/>
    <w:rsid w:val="00D2587A"/>
    <w:rsid w:val="00D25B78"/>
    <w:rsid w:val="00D2680F"/>
    <w:rsid w:val="00D26E32"/>
    <w:rsid w:val="00D27C77"/>
    <w:rsid w:val="00D31ED1"/>
    <w:rsid w:val="00D348D5"/>
    <w:rsid w:val="00D35204"/>
    <w:rsid w:val="00D36691"/>
    <w:rsid w:val="00D45BF6"/>
    <w:rsid w:val="00D52131"/>
    <w:rsid w:val="00D52E68"/>
    <w:rsid w:val="00D54075"/>
    <w:rsid w:val="00D54310"/>
    <w:rsid w:val="00D546CF"/>
    <w:rsid w:val="00D6153F"/>
    <w:rsid w:val="00D621E8"/>
    <w:rsid w:val="00D711F2"/>
    <w:rsid w:val="00D72A4C"/>
    <w:rsid w:val="00D7306E"/>
    <w:rsid w:val="00D74424"/>
    <w:rsid w:val="00D80FED"/>
    <w:rsid w:val="00D878FC"/>
    <w:rsid w:val="00D90B33"/>
    <w:rsid w:val="00D93FC4"/>
    <w:rsid w:val="00D95053"/>
    <w:rsid w:val="00D974AF"/>
    <w:rsid w:val="00DA054F"/>
    <w:rsid w:val="00DA0910"/>
    <w:rsid w:val="00DA26DA"/>
    <w:rsid w:val="00DA4822"/>
    <w:rsid w:val="00DA4E44"/>
    <w:rsid w:val="00DB08FB"/>
    <w:rsid w:val="00DB2FC7"/>
    <w:rsid w:val="00DB3F5D"/>
    <w:rsid w:val="00DB3FF6"/>
    <w:rsid w:val="00DB5130"/>
    <w:rsid w:val="00DB582F"/>
    <w:rsid w:val="00DC4ABA"/>
    <w:rsid w:val="00DD718B"/>
    <w:rsid w:val="00DE2A52"/>
    <w:rsid w:val="00DE30A3"/>
    <w:rsid w:val="00DE45B6"/>
    <w:rsid w:val="00DE5871"/>
    <w:rsid w:val="00DE6455"/>
    <w:rsid w:val="00DF0283"/>
    <w:rsid w:val="00DF1988"/>
    <w:rsid w:val="00DF219A"/>
    <w:rsid w:val="00DF42EA"/>
    <w:rsid w:val="00DF6A2D"/>
    <w:rsid w:val="00DF6E8E"/>
    <w:rsid w:val="00DF7C35"/>
    <w:rsid w:val="00E032C7"/>
    <w:rsid w:val="00E15EB6"/>
    <w:rsid w:val="00E15F02"/>
    <w:rsid w:val="00E172A8"/>
    <w:rsid w:val="00E242DF"/>
    <w:rsid w:val="00E3053D"/>
    <w:rsid w:val="00E345DF"/>
    <w:rsid w:val="00E4427D"/>
    <w:rsid w:val="00E44F41"/>
    <w:rsid w:val="00E47EEB"/>
    <w:rsid w:val="00E512A2"/>
    <w:rsid w:val="00E515A4"/>
    <w:rsid w:val="00E602D2"/>
    <w:rsid w:val="00E62653"/>
    <w:rsid w:val="00E62ACB"/>
    <w:rsid w:val="00E650E5"/>
    <w:rsid w:val="00E66A91"/>
    <w:rsid w:val="00E710EE"/>
    <w:rsid w:val="00E728CB"/>
    <w:rsid w:val="00E74081"/>
    <w:rsid w:val="00E759EE"/>
    <w:rsid w:val="00E77FD1"/>
    <w:rsid w:val="00E821FF"/>
    <w:rsid w:val="00E833C8"/>
    <w:rsid w:val="00E84605"/>
    <w:rsid w:val="00E850EB"/>
    <w:rsid w:val="00E867F0"/>
    <w:rsid w:val="00E93025"/>
    <w:rsid w:val="00E94077"/>
    <w:rsid w:val="00E940A6"/>
    <w:rsid w:val="00E94D2F"/>
    <w:rsid w:val="00E9598F"/>
    <w:rsid w:val="00E960A6"/>
    <w:rsid w:val="00E97375"/>
    <w:rsid w:val="00E97A2B"/>
    <w:rsid w:val="00EA030F"/>
    <w:rsid w:val="00EA1B46"/>
    <w:rsid w:val="00EA2CC3"/>
    <w:rsid w:val="00EA31A9"/>
    <w:rsid w:val="00EA36F2"/>
    <w:rsid w:val="00EA6B9B"/>
    <w:rsid w:val="00EB03F3"/>
    <w:rsid w:val="00EB0EC9"/>
    <w:rsid w:val="00EB12B3"/>
    <w:rsid w:val="00EB56D6"/>
    <w:rsid w:val="00EC1AA9"/>
    <w:rsid w:val="00EC319E"/>
    <w:rsid w:val="00EC47B0"/>
    <w:rsid w:val="00EC5970"/>
    <w:rsid w:val="00EC70CB"/>
    <w:rsid w:val="00ED1EF7"/>
    <w:rsid w:val="00ED2FBB"/>
    <w:rsid w:val="00ED4187"/>
    <w:rsid w:val="00ED489F"/>
    <w:rsid w:val="00ED57AB"/>
    <w:rsid w:val="00ED6623"/>
    <w:rsid w:val="00EE070D"/>
    <w:rsid w:val="00EE1F8D"/>
    <w:rsid w:val="00EE5BFB"/>
    <w:rsid w:val="00EE6D3F"/>
    <w:rsid w:val="00EF1B05"/>
    <w:rsid w:val="00EF1B2A"/>
    <w:rsid w:val="00EF5B86"/>
    <w:rsid w:val="00F00336"/>
    <w:rsid w:val="00F06902"/>
    <w:rsid w:val="00F07177"/>
    <w:rsid w:val="00F071DD"/>
    <w:rsid w:val="00F12CC8"/>
    <w:rsid w:val="00F136E8"/>
    <w:rsid w:val="00F16181"/>
    <w:rsid w:val="00F16A37"/>
    <w:rsid w:val="00F265A6"/>
    <w:rsid w:val="00F30E7B"/>
    <w:rsid w:val="00F33289"/>
    <w:rsid w:val="00F3459D"/>
    <w:rsid w:val="00F40363"/>
    <w:rsid w:val="00F40C10"/>
    <w:rsid w:val="00F423CA"/>
    <w:rsid w:val="00F428A2"/>
    <w:rsid w:val="00F4299E"/>
    <w:rsid w:val="00F44880"/>
    <w:rsid w:val="00F44C5A"/>
    <w:rsid w:val="00F45A55"/>
    <w:rsid w:val="00F47C77"/>
    <w:rsid w:val="00F516E7"/>
    <w:rsid w:val="00F62327"/>
    <w:rsid w:val="00F626D0"/>
    <w:rsid w:val="00F62B50"/>
    <w:rsid w:val="00F67DE9"/>
    <w:rsid w:val="00F73799"/>
    <w:rsid w:val="00F758DF"/>
    <w:rsid w:val="00F832DC"/>
    <w:rsid w:val="00F85AFF"/>
    <w:rsid w:val="00F90E38"/>
    <w:rsid w:val="00F9170C"/>
    <w:rsid w:val="00F948C7"/>
    <w:rsid w:val="00F96130"/>
    <w:rsid w:val="00F96D5E"/>
    <w:rsid w:val="00FA0B63"/>
    <w:rsid w:val="00FA3921"/>
    <w:rsid w:val="00FA457E"/>
    <w:rsid w:val="00FB1546"/>
    <w:rsid w:val="00FB40BD"/>
    <w:rsid w:val="00FB466E"/>
    <w:rsid w:val="00FB5CCA"/>
    <w:rsid w:val="00FB6066"/>
    <w:rsid w:val="00FC3FAD"/>
    <w:rsid w:val="00FC48BE"/>
    <w:rsid w:val="00FC4935"/>
    <w:rsid w:val="00FD7DDF"/>
    <w:rsid w:val="00FE0CA6"/>
    <w:rsid w:val="00FE1F74"/>
    <w:rsid w:val="00FE3287"/>
    <w:rsid w:val="00FE54F1"/>
    <w:rsid w:val="00FE569A"/>
    <w:rsid w:val="00FE6E52"/>
    <w:rsid w:val="00FE7C32"/>
    <w:rsid w:val="00FF3685"/>
    <w:rsid w:val="00FF4C4A"/>
    <w:rsid w:val="00FF4E79"/>
    <w:rsid w:val="00FF4FAD"/>
    <w:rsid w:val="01517FCB"/>
    <w:rsid w:val="01669D3A"/>
    <w:rsid w:val="017A208F"/>
    <w:rsid w:val="017A9F3E"/>
    <w:rsid w:val="01816B66"/>
    <w:rsid w:val="026EFB11"/>
    <w:rsid w:val="0311B034"/>
    <w:rsid w:val="035A2929"/>
    <w:rsid w:val="036EA090"/>
    <w:rsid w:val="0381060B"/>
    <w:rsid w:val="042CBA77"/>
    <w:rsid w:val="0470067F"/>
    <w:rsid w:val="04AD8095"/>
    <w:rsid w:val="04F7FB14"/>
    <w:rsid w:val="04F8F465"/>
    <w:rsid w:val="0533A535"/>
    <w:rsid w:val="05892CEC"/>
    <w:rsid w:val="06B4DCD9"/>
    <w:rsid w:val="06BAD137"/>
    <w:rsid w:val="070DB04D"/>
    <w:rsid w:val="07705B12"/>
    <w:rsid w:val="07A9DA78"/>
    <w:rsid w:val="07CFB11F"/>
    <w:rsid w:val="07D154E1"/>
    <w:rsid w:val="07F8827D"/>
    <w:rsid w:val="083684C8"/>
    <w:rsid w:val="083CA5B9"/>
    <w:rsid w:val="084692E7"/>
    <w:rsid w:val="088789AE"/>
    <w:rsid w:val="08A980AE"/>
    <w:rsid w:val="0923A12E"/>
    <w:rsid w:val="0957B90C"/>
    <w:rsid w:val="0992EFA2"/>
    <w:rsid w:val="09979860"/>
    <w:rsid w:val="09ACA249"/>
    <w:rsid w:val="0A4A0C88"/>
    <w:rsid w:val="0AC41FA1"/>
    <w:rsid w:val="0B26A85A"/>
    <w:rsid w:val="0B4AE02B"/>
    <w:rsid w:val="0B8EDE91"/>
    <w:rsid w:val="0BD38AF5"/>
    <w:rsid w:val="0C196810"/>
    <w:rsid w:val="0C93B8FA"/>
    <w:rsid w:val="0D623920"/>
    <w:rsid w:val="0D91DE58"/>
    <w:rsid w:val="0D9A9FC4"/>
    <w:rsid w:val="0D9D8194"/>
    <w:rsid w:val="0DA0A6CC"/>
    <w:rsid w:val="0DA8B436"/>
    <w:rsid w:val="0DFD7827"/>
    <w:rsid w:val="0E0410FB"/>
    <w:rsid w:val="0E7D971F"/>
    <w:rsid w:val="0EEB3572"/>
    <w:rsid w:val="0F506299"/>
    <w:rsid w:val="0F536B16"/>
    <w:rsid w:val="0FC1728E"/>
    <w:rsid w:val="100465C9"/>
    <w:rsid w:val="1015D276"/>
    <w:rsid w:val="102962DD"/>
    <w:rsid w:val="10410E94"/>
    <w:rsid w:val="105094DB"/>
    <w:rsid w:val="10677699"/>
    <w:rsid w:val="10A983CD"/>
    <w:rsid w:val="10E4CF25"/>
    <w:rsid w:val="10E65D24"/>
    <w:rsid w:val="11020189"/>
    <w:rsid w:val="11A25FA4"/>
    <w:rsid w:val="11BFF2BD"/>
    <w:rsid w:val="11C9774E"/>
    <w:rsid w:val="12C38E8F"/>
    <w:rsid w:val="12FD99CC"/>
    <w:rsid w:val="136310D2"/>
    <w:rsid w:val="13883F2C"/>
    <w:rsid w:val="13CE3FEC"/>
    <w:rsid w:val="13D5B272"/>
    <w:rsid w:val="144541A1"/>
    <w:rsid w:val="14D31A92"/>
    <w:rsid w:val="155422A8"/>
    <w:rsid w:val="156FA40D"/>
    <w:rsid w:val="161AA48C"/>
    <w:rsid w:val="1663B57C"/>
    <w:rsid w:val="16C479AE"/>
    <w:rsid w:val="172B4F05"/>
    <w:rsid w:val="1744C02C"/>
    <w:rsid w:val="17575BC9"/>
    <w:rsid w:val="17DBC876"/>
    <w:rsid w:val="17FBAB39"/>
    <w:rsid w:val="180EEC4F"/>
    <w:rsid w:val="18357E1A"/>
    <w:rsid w:val="184DAD26"/>
    <w:rsid w:val="18684164"/>
    <w:rsid w:val="1988B9D8"/>
    <w:rsid w:val="19C398FB"/>
    <w:rsid w:val="19ECE747"/>
    <w:rsid w:val="19F5CC14"/>
    <w:rsid w:val="1A62EFC7"/>
    <w:rsid w:val="1AB40CB9"/>
    <w:rsid w:val="1AE20723"/>
    <w:rsid w:val="1B3FC5D5"/>
    <w:rsid w:val="1B773A3F"/>
    <w:rsid w:val="1BA5025B"/>
    <w:rsid w:val="1BD3B545"/>
    <w:rsid w:val="1BF5E379"/>
    <w:rsid w:val="1C4D4A5B"/>
    <w:rsid w:val="1C6257DD"/>
    <w:rsid w:val="1C7ABC83"/>
    <w:rsid w:val="1D248809"/>
    <w:rsid w:val="1D45F9A1"/>
    <w:rsid w:val="1D5E4924"/>
    <w:rsid w:val="1D67E549"/>
    <w:rsid w:val="1D91B3DA"/>
    <w:rsid w:val="1DC8004A"/>
    <w:rsid w:val="1E2C4F6E"/>
    <w:rsid w:val="1E3C83CF"/>
    <w:rsid w:val="1EB25640"/>
    <w:rsid w:val="1EC8A1A5"/>
    <w:rsid w:val="1FD156CE"/>
    <w:rsid w:val="1FED1CB1"/>
    <w:rsid w:val="1FF51C2F"/>
    <w:rsid w:val="2021CEBF"/>
    <w:rsid w:val="20247568"/>
    <w:rsid w:val="21163630"/>
    <w:rsid w:val="21DFA368"/>
    <w:rsid w:val="22C2F07F"/>
    <w:rsid w:val="2320875E"/>
    <w:rsid w:val="232D6071"/>
    <w:rsid w:val="2350AEE9"/>
    <w:rsid w:val="2387A9C5"/>
    <w:rsid w:val="23BBBFA3"/>
    <w:rsid w:val="23BEC29C"/>
    <w:rsid w:val="2407104F"/>
    <w:rsid w:val="2537E329"/>
    <w:rsid w:val="262FB197"/>
    <w:rsid w:val="26451B0F"/>
    <w:rsid w:val="268DBFF4"/>
    <w:rsid w:val="26C857C0"/>
    <w:rsid w:val="26D7AF6C"/>
    <w:rsid w:val="26EA8253"/>
    <w:rsid w:val="26FF583D"/>
    <w:rsid w:val="271EB0A8"/>
    <w:rsid w:val="2745961C"/>
    <w:rsid w:val="2795E29D"/>
    <w:rsid w:val="27FFF028"/>
    <w:rsid w:val="2843F613"/>
    <w:rsid w:val="28C8082B"/>
    <w:rsid w:val="290A5112"/>
    <w:rsid w:val="291E0024"/>
    <w:rsid w:val="2945EAA3"/>
    <w:rsid w:val="297EF335"/>
    <w:rsid w:val="29832E57"/>
    <w:rsid w:val="29CB8373"/>
    <w:rsid w:val="29F5BC2C"/>
    <w:rsid w:val="2A51BC59"/>
    <w:rsid w:val="2AC8ED59"/>
    <w:rsid w:val="2B4D5F48"/>
    <w:rsid w:val="2B5C4581"/>
    <w:rsid w:val="2B60DD51"/>
    <w:rsid w:val="2B6C4704"/>
    <w:rsid w:val="2B7406B7"/>
    <w:rsid w:val="2C33A50F"/>
    <w:rsid w:val="2C486E02"/>
    <w:rsid w:val="2C8AF11B"/>
    <w:rsid w:val="2D028BC2"/>
    <w:rsid w:val="2D801D0A"/>
    <w:rsid w:val="2D866158"/>
    <w:rsid w:val="2DE925B2"/>
    <w:rsid w:val="2E3DE0ED"/>
    <w:rsid w:val="2EE187F6"/>
    <w:rsid w:val="2F07347F"/>
    <w:rsid w:val="2F1AE367"/>
    <w:rsid w:val="2F416568"/>
    <w:rsid w:val="2F5EC5F8"/>
    <w:rsid w:val="2FAEB2E8"/>
    <w:rsid w:val="2FB96005"/>
    <w:rsid w:val="2FE58DBB"/>
    <w:rsid w:val="2FF19E8E"/>
    <w:rsid w:val="2FFEF13A"/>
    <w:rsid w:val="3017DD7A"/>
    <w:rsid w:val="301DBEE6"/>
    <w:rsid w:val="30332E22"/>
    <w:rsid w:val="3050810B"/>
    <w:rsid w:val="308F6C29"/>
    <w:rsid w:val="309FDF5D"/>
    <w:rsid w:val="30AEB6D5"/>
    <w:rsid w:val="30B1ABE7"/>
    <w:rsid w:val="30ED86D8"/>
    <w:rsid w:val="313EA9C3"/>
    <w:rsid w:val="3161648A"/>
    <w:rsid w:val="31B71126"/>
    <w:rsid w:val="33591FCB"/>
    <w:rsid w:val="34213028"/>
    <w:rsid w:val="3423001E"/>
    <w:rsid w:val="342AD788"/>
    <w:rsid w:val="34E32F41"/>
    <w:rsid w:val="34F363E5"/>
    <w:rsid w:val="34FB0170"/>
    <w:rsid w:val="3555F479"/>
    <w:rsid w:val="35EA8D1D"/>
    <w:rsid w:val="362514F7"/>
    <w:rsid w:val="36C327D6"/>
    <w:rsid w:val="36C86CAC"/>
    <w:rsid w:val="36C9EC44"/>
    <w:rsid w:val="3723A870"/>
    <w:rsid w:val="37334EF0"/>
    <w:rsid w:val="3767F022"/>
    <w:rsid w:val="37FBDE30"/>
    <w:rsid w:val="389AC18F"/>
    <w:rsid w:val="38CCBB63"/>
    <w:rsid w:val="38CF1F51"/>
    <w:rsid w:val="38DE0239"/>
    <w:rsid w:val="39263108"/>
    <w:rsid w:val="393D50FE"/>
    <w:rsid w:val="3954AC21"/>
    <w:rsid w:val="3964CF54"/>
    <w:rsid w:val="39DC8FBE"/>
    <w:rsid w:val="3A1C764B"/>
    <w:rsid w:val="3A3E3A98"/>
    <w:rsid w:val="3A482B26"/>
    <w:rsid w:val="3A4BBC03"/>
    <w:rsid w:val="3A550A4F"/>
    <w:rsid w:val="3A5ECFB2"/>
    <w:rsid w:val="3AE7C889"/>
    <w:rsid w:val="3AFC12AC"/>
    <w:rsid w:val="3B2B3B3D"/>
    <w:rsid w:val="3B4DE11B"/>
    <w:rsid w:val="3B840A58"/>
    <w:rsid w:val="3C12F64F"/>
    <w:rsid w:val="3C3D4A13"/>
    <w:rsid w:val="3C740106"/>
    <w:rsid w:val="3D2D6A3A"/>
    <w:rsid w:val="3D56DE0A"/>
    <w:rsid w:val="3D57FDD9"/>
    <w:rsid w:val="3D5BBC18"/>
    <w:rsid w:val="3D8292E5"/>
    <w:rsid w:val="3DA4A47E"/>
    <w:rsid w:val="3DB8F36F"/>
    <w:rsid w:val="3DC5A6B4"/>
    <w:rsid w:val="3DF9A22B"/>
    <w:rsid w:val="3E12F0CA"/>
    <w:rsid w:val="3E1572B0"/>
    <w:rsid w:val="3E871ADB"/>
    <w:rsid w:val="3F67F472"/>
    <w:rsid w:val="3F9C65D9"/>
    <w:rsid w:val="3FB49660"/>
    <w:rsid w:val="3FCF83CF"/>
    <w:rsid w:val="4038C882"/>
    <w:rsid w:val="406BD8ED"/>
    <w:rsid w:val="40821555"/>
    <w:rsid w:val="409F042E"/>
    <w:rsid w:val="415FFEEA"/>
    <w:rsid w:val="42003C03"/>
    <w:rsid w:val="422F2D3B"/>
    <w:rsid w:val="428883C6"/>
    <w:rsid w:val="42C3FEE8"/>
    <w:rsid w:val="42D69651"/>
    <w:rsid w:val="4363985C"/>
    <w:rsid w:val="43CB20FD"/>
    <w:rsid w:val="44067007"/>
    <w:rsid w:val="441EED13"/>
    <w:rsid w:val="442D3018"/>
    <w:rsid w:val="4456A0EC"/>
    <w:rsid w:val="44DE27D8"/>
    <w:rsid w:val="44E4AC19"/>
    <w:rsid w:val="454FFE43"/>
    <w:rsid w:val="458923C3"/>
    <w:rsid w:val="45CEFDE5"/>
    <w:rsid w:val="46556D8D"/>
    <w:rsid w:val="4680F059"/>
    <w:rsid w:val="469E56A7"/>
    <w:rsid w:val="469E6124"/>
    <w:rsid w:val="46A5FA34"/>
    <w:rsid w:val="46BF00BF"/>
    <w:rsid w:val="47016AC8"/>
    <w:rsid w:val="477B40A9"/>
    <w:rsid w:val="487FF957"/>
    <w:rsid w:val="4892B41E"/>
    <w:rsid w:val="48B74F2D"/>
    <w:rsid w:val="48BA22F5"/>
    <w:rsid w:val="48C937EF"/>
    <w:rsid w:val="48EB05DA"/>
    <w:rsid w:val="4907103E"/>
    <w:rsid w:val="4915CD05"/>
    <w:rsid w:val="492A216F"/>
    <w:rsid w:val="494014C4"/>
    <w:rsid w:val="49639ECE"/>
    <w:rsid w:val="49C3E4D0"/>
    <w:rsid w:val="49C57772"/>
    <w:rsid w:val="49DC122F"/>
    <w:rsid w:val="4A2CE587"/>
    <w:rsid w:val="4A70E42B"/>
    <w:rsid w:val="4A8AB052"/>
    <w:rsid w:val="4ABBF777"/>
    <w:rsid w:val="4AE6A89E"/>
    <w:rsid w:val="4B32C393"/>
    <w:rsid w:val="4B904F44"/>
    <w:rsid w:val="4C25A644"/>
    <w:rsid w:val="4C61C084"/>
    <w:rsid w:val="4C7B58BE"/>
    <w:rsid w:val="4CFB8500"/>
    <w:rsid w:val="4D337D08"/>
    <w:rsid w:val="4DE7D2E5"/>
    <w:rsid w:val="4DF18D62"/>
    <w:rsid w:val="4DF39EF4"/>
    <w:rsid w:val="4E1C0FF8"/>
    <w:rsid w:val="4E577901"/>
    <w:rsid w:val="4EAD8BD9"/>
    <w:rsid w:val="4F0E4ED8"/>
    <w:rsid w:val="4F61CFCF"/>
    <w:rsid w:val="4F7403D8"/>
    <w:rsid w:val="4FADF1CD"/>
    <w:rsid w:val="4FED3D47"/>
    <w:rsid w:val="4FEE85BF"/>
    <w:rsid w:val="50102C9A"/>
    <w:rsid w:val="50495C3A"/>
    <w:rsid w:val="506A14B5"/>
    <w:rsid w:val="50CB4C4D"/>
    <w:rsid w:val="50E11EC3"/>
    <w:rsid w:val="50E35D85"/>
    <w:rsid w:val="517B21A3"/>
    <w:rsid w:val="51A1649C"/>
    <w:rsid w:val="5277FD74"/>
    <w:rsid w:val="528C09B6"/>
    <w:rsid w:val="52DD9C62"/>
    <w:rsid w:val="52FF2CE5"/>
    <w:rsid w:val="54150274"/>
    <w:rsid w:val="542FF7F5"/>
    <w:rsid w:val="548ADF54"/>
    <w:rsid w:val="54F02ED3"/>
    <w:rsid w:val="5502B474"/>
    <w:rsid w:val="5584DF4D"/>
    <w:rsid w:val="55A63416"/>
    <w:rsid w:val="55D1F0C0"/>
    <w:rsid w:val="5643AE46"/>
    <w:rsid w:val="56471169"/>
    <w:rsid w:val="56543F13"/>
    <w:rsid w:val="56577DE8"/>
    <w:rsid w:val="56887B56"/>
    <w:rsid w:val="56AC4EE8"/>
    <w:rsid w:val="572F27FE"/>
    <w:rsid w:val="57955F7C"/>
    <w:rsid w:val="57B5138A"/>
    <w:rsid w:val="57E03BB7"/>
    <w:rsid w:val="584B237C"/>
    <w:rsid w:val="587D2075"/>
    <w:rsid w:val="589142D1"/>
    <w:rsid w:val="58F2F9D6"/>
    <w:rsid w:val="597BA1D0"/>
    <w:rsid w:val="59AA7799"/>
    <w:rsid w:val="5A3A2B3F"/>
    <w:rsid w:val="5AC2A0B1"/>
    <w:rsid w:val="5B21F619"/>
    <w:rsid w:val="5B8746A3"/>
    <w:rsid w:val="5BA8CF36"/>
    <w:rsid w:val="5BDD5D47"/>
    <w:rsid w:val="5C48901B"/>
    <w:rsid w:val="5C771551"/>
    <w:rsid w:val="5CDF8227"/>
    <w:rsid w:val="5D094DE3"/>
    <w:rsid w:val="5D8EBD9C"/>
    <w:rsid w:val="5DD63A3E"/>
    <w:rsid w:val="5E08937D"/>
    <w:rsid w:val="5E0D0CDB"/>
    <w:rsid w:val="5EABB087"/>
    <w:rsid w:val="5F17F763"/>
    <w:rsid w:val="5F30B463"/>
    <w:rsid w:val="5F3A39E3"/>
    <w:rsid w:val="5F774BFC"/>
    <w:rsid w:val="5F843987"/>
    <w:rsid w:val="5FE2F800"/>
    <w:rsid w:val="6001875C"/>
    <w:rsid w:val="6029081B"/>
    <w:rsid w:val="604657A7"/>
    <w:rsid w:val="60A66D9C"/>
    <w:rsid w:val="60C3A671"/>
    <w:rsid w:val="60E99FB8"/>
    <w:rsid w:val="610B87EC"/>
    <w:rsid w:val="610F7AF8"/>
    <w:rsid w:val="61598207"/>
    <w:rsid w:val="61616075"/>
    <w:rsid w:val="61BAE228"/>
    <w:rsid w:val="6211DA0F"/>
    <w:rsid w:val="6245F079"/>
    <w:rsid w:val="633536A7"/>
    <w:rsid w:val="6360A18D"/>
    <w:rsid w:val="63D4F2E3"/>
    <w:rsid w:val="645F13A8"/>
    <w:rsid w:val="64FFAFE1"/>
    <w:rsid w:val="65327F58"/>
    <w:rsid w:val="655764F7"/>
    <w:rsid w:val="65BE6BD7"/>
    <w:rsid w:val="65C5E431"/>
    <w:rsid w:val="65CAD456"/>
    <w:rsid w:val="66482F66"/>
    <w:rsid w:val="664B2071"/>
    <w:rsid w:val="676C8E26"/>
    <w:rsid w:val="682FA7B7"/>
    <w:rsid w:val="68A3200A"/>
    <w:rsid w:val="68E74B97"/>
    <w:rsid w:val="68F8BA7F"/>
    <w:rsid w:val="6922BE61"/>
    <w:rsid w:val="696E3D1A"/>
    <w:rsid w:val="696F8CCA"/>
    <w:rsid w:val="6A48C6B4"/>
    <w:rsid w:val="6AD9CCAD"/>
    <w:rsid w:val="6B047C88"/>
    <w:rsid w:val="6B59FCCE"/>
    <w:rsid w:val="6B64594A"/>
    <w:rsid w:val="6B710B32"/>
    <w:rsid w:val="6BE3C2A5"/>
    <w:rsid w:val="6BE9A6E6"/>
    <w:rsid w:val="6C2E1CA9"/>
    <w:rsid w:val="6C89E336"/>
    <w:rsid w:val="6C93E03E"/>
    <w:rsid w:val="6C9D85BC"/>
    <w:rsid w:val="6CB9A1F3"/>
    <w:rsid w:val="6CDA1B16"/>
    <w:rsid w:val="6CDB727F"/>
    <w:rsid w:val="6CE96348"/>
    <w:rsid w:val="6CF90219"/>
    <w:rsid w:val="6D14C919"/>
    <w:rsid w:val="6DFA6652"/>
    <w:rsid w:val="6E21AB8C"/>
    <w:rsid w:val="6E2767B7"/>
    <w:rsid w:val="6E2E8D3D"/>
    <w:rsid w:val="6EAC6353"/>
    <w:rsid w:val="6EB120C7"/>
    <w:rsid w:val="6F2DD8A5"/>
    <w:rsid w:val="6F782C53"/>
    <w:rsid w:val="6F8954C5"/>
    <w:rsid w:val="6FD0BBF9"/>
    <w:rsid w:val="6FE5862C"/>
    <w:rsid w:val="6FEBAC03"/>
    <w:rsid w:val="704833B4"/>
    <w:rsid w:val="70E211CE"/>
    <w:rsid w:val="71969619"/>
    <w:rsid w:val="71C022D7"/>
    <w:rsid w:val="726D3A04"/>
    <w:rsid w:val="728D82AF"/>
    <w:rsid w:val="7322BDA5"/>
    <w:rsid w:val="73319B97"/>
    <w:rsid w:val="736F6B2F"/>
    <w:rsid w:val="73CCD3CD"/>
    <w:rsid w:val="74C4B3D8"/>
    <w:rsid w:val="74D98E45"/>
    <w:rsid w:val="74FE6966"/>
    <w:rsid w:val="75523E47"/>
    <w:rsid w:val="755EBEA3"/>
    <w:rsid w:val="75B0AC3F"/>
    <w:rsid w:val="75C2EF18"/>
    <w:rsid w:val="75CA8964"/>
    <w:rsid w:val="75E02739"/>
    <w:rsid w:val="76359A12"/>
    <w:rsid w:val="770C59C5"/>
    <w:rsid w:val="772381B8"/>
    <w:rsid w:val="78017552"/>
    <w:rsid w:val="787C7B82"/>
    <w:rsid w:val="790358EE"/>
    <w:rsid w:val="790A3115"/>
    <w:rsid w:val="7975BCC6"/>
    <w:rsid w:val="79865580"/>
    <w:rsid w:val="79ACB295"/>
    <w:rsid w:val="79ED291D"/>
    <w:rsid w:val="7A5334F4"/>
    <w:rsid w:val="7A721FEE"/>
    <w:rsid w:val="7B6DAAEA"/>
    <w:rsid w:val="7BA71B9E"/>
    <w:rsid w:val="7BA83CB9"/>
    <w:rsid w:val="7BB17F0E"/>
    <w:rsid w:val="7BC0BEE9"/>
    <w:rsid w:val="7BD7D4E5"/>
    <w:rsid w:val="7C41393D"/>
    <w:rsid w:val="7C9640C0"/>
    <w:rsid w:val="7CBE159D"/>
    <w:rsid w:val="7CF20AE1"/>
    <w:rsid w:val="7CF4DEF8"/>
    <w:rsid w:val="7D05AE30"/>
    <w:rsid w:val="7D9150E7"/>
    <w:rsid w:val="7D99BBD4"/>
    <w:rsid w:val="7DCC2F01"/>
    <w:rsid w:val="7E0CD9A3"/>
    <w:rsid w:val="7E49511F"/>
    <w:rsid w:val="7EAF828A"/>
    <w:rsid w:val="7ED6A2A0"/>
    <w:rsid w:val="7EEF5392"/>
    <w:rsid w:val="7F10B74B"/>
    <w:rsid w:val="7F5864DC"/>
    <w:rsid w:val="7F6971F7"/>
    <w:rsid w:val="7F9BC1B6"/>
    <w:rsid w:val="7FEC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8DF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0435"/>
    <w:rPr>
      <w:rFonts w:ascii="Calibri" w:eastAsia="Times New Roman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2813A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930435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30435"/>
    <w:rPr>
      <w:rFonts w:ascii="Calibri" w:eastAsia="Calibri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Appel note de bas de p,Footnote symbol,Footnote"/>
    <w:uiPriority w:val="99"/>
    <w:semiHidden/>
    <w:rsid w:val="00930435"/>
    <w:rPr>
      <w:rFonts w:cs="Times New Roman"/>
      <w:vertAlign w:val="superscript"/>
    </w:rPr>
  </w:style>
  <w:style w:type="paragraph" w:customStyle="1" w:styleId="Textlnku">
    <w:name w:val="Text článku"/>
    <w:basedOn w:val="Normln"/>
    <w:rsid w:val="00930435"/>
    <w:pPr>
      <w:spacing w:before="240" w:after="0" w:line="240" w:lineRule="auto"/>
      <w:ind w:firstLine="425"/>
      <w:jc w:val="both"/>
      <w:outlineLvl w:val="5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Odstavecseseznamem2">
    <w:name w:val="Odstavec se seznamem2"/>
    <w:basedOn w:val="Normln"/>
    <w:rsid w:val="00930435"/>
    <w:pPr>
      <w:ind w:left="720"/>
    </w:pPr>
    <w:rPr>
      <w:rFonts w:eastAsia="Calibri"/>
    </w:rPr>
  </w:style>
  <w:style w:type="table" w:styleId="Mkatabulky">
    <w:name w:val="Table Grid"/>
    <w:basedOn w:val="Normlntabulka"/>
    <w:uiPriority w:val="39"/>
    <w:rsid w:val="0021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41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D974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4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4AF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4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4AF"/>
    <w:rPr>
      <w:rFonts w:ascii="Calibri" w:eastAsia="Times New Roman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1FF9"/>
    <w:pPr>
      <w:ind w:left="720"/>
      <w:contextualSpacing/>
    </w:pPr>
  </w:style>
  <w:style w:type="paragraph" w:customStyle="1" w:styleId="Normalnitabulka">
    <w:name w:val="Normalni_tabulka"/>
    <w:basedOn w:val="Normln"/>
    <w:qFormat/>
    <w:rsid w:val="00B62305"/>
    <w:pPr>
      <w:spacing w:after="0" w:line="240" w:lineRule="auto"/>
    </w:pPr>
    <w:rPr>
      <w:szCs w:val="24"/>
    </w:rPr>
  </w:style>
  <w:style w:type="paragraph" w:customStyle="1" w:styleId="Odstavecseseznamem1">
    <w:name w:val="Odstavec se seznamem1"/>
    <w:basedOn w:val="Normln"/>
    <w:rsid w:val="00BC58D4"/>
    <w:pPr>
      <w:spacing w:after="200" w:line="276" w:lineRule="auto"/>
      <w:ind w:left="720"/>
      <w:contextualSpacing/>
    </w:pPr>
    <w:rPr>
      <w:rFonts w:eastAsia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5C1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9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5C1"/>
    <w:rPr>
      <w:rFonts w:ascii="Calibri" w:eastAsia="Times New Roman" w:hAnsi="Calibri" w:cs="Times New Roman"/>
    </w:rPr>
  </w:style>
  <w:style w:type="paragraph" w:customStyle="1" w:styleId="EntRefer">
    <w:name w:val="EntRefer"/>
    <w:basedOn w:val="Normln"/>
    <w:rsid w:val="00B17173"/>
    <w:pPr>
      <w:widowControl w:val="0"/>
      <w:spacing w:line="293" w:lineRule="auto"/>
      <w:jc w:val="both"/>
    </w:pPr>
    <w:rPr>
      <w:rFonts w:asciiTheme="minorHAnsi" w:eastAsiaTheme="minorHAnsi" w:hAnsiTheme="minorHAnsi" w:cstheme="minorBidi"/>
      <w:b/>
      <w:color w:val="000000" w:themeColor="text1"/>
      <w:sz w:val="24"/>
      <w:lang w:val="en-GB"/>
    </w:rPr>
  </w:style>
  <w:style w:type="character" w:styleId="Hypertextovodkaz">
    <w:name w:val="Hyperlink"/>
    <w:basedOn w:val="Standardnpsmoodstavce"/>
    <w:unhideWhenUsed/>
    <w:rsid w:val="009F4982"/>
    <w:rPr>
      <w:color w:val="0000FF"/>
      <w:u w:val="single"/>
    </w:rPr>
  </w:style>
  <w:style w:type="paragraph" w:customStyle="1" w:styleId="Default">
    <w:name w:val="Default"/>
    <w:rsid w:val="003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387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3878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3878"/>
    <w:rPr>
      <w:vertAlign w:val="superscript"/>
    </w:rPr>
  </w:style>
  <w:style w:type="paragraph" w:styleId="Revize">
    <w:name w:val="Revision"/>
    <w:hidden/>
    <w:uiPriority w:val="99"/>
    <w:semiHidden/>
    <w:rsid w:val="00234E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2813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xzvds">
    <w:name w:val="xzvds"/>
    <w:basedOn w:val="Normln"/>
    <w:rsid w:val="0090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830"/>
    <w:rPr>
      <w:b/>
      <w:bCs/>
    </w:rPr>
  </w:style>
  <w:style w:type="character" w:customStyle="1" w:styleId="fontstyle01">
    <w:name w:val="fontstyle01"/>
    <w:basedOn w:val="Standardnpsmoodstavce"/>
    <w:rsid w:val="007B796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E3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newsroom/dae/document.cfm?doc_id=6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4B10288B48D46900FD1067A1F727D" ma:contentTypeVersion="2" ma:contentTypeDescription="Vytvoří nový dokument" ma:contentTypeScope="" ma:versionID="34db9df77e2edd943f127add8b70bd4e">
  <xsd:schema xmlns:xsd="http://www.w3.org/2001/XMLSchema" xmlns:xs="http://www.w3.org/2001/XMLSchema" xmlns:p="http://schemas.microsoft.com/office/2006/metadata/properties" xmlns:ns2="a9339480-443e-432b-92ac-a315bec850c5" targetNamespace="http://schemas.microsoft.com/office/2006/metadata/properties" ma:root="true" ma:fieldsID="e5a2f40eab0f226ebae5e79d3dfb2a17" ns2:_="">
    <xsd:import namespace="a9339480-443e-432b-92ac-a315bec85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39480-443e-432b-92ac-a315bec85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A41E-72A4-4CDC-94BA-67F43E6CA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39480-443e-432b-92ac-a315bec85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AE99D-CFB8-4345-8AD6-9E0F7E963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495EE-6509-4E30-97F2-8B32715C0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557BE-5083-48A4-9CDC-EAD5DA87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500FF728.dotm</Template>
  <TotalTime>0</TotalTime>
  <Pages>17</Pages>
  <Words>6149</Words>
  <Characters>37695</Characters>
  <Application>Microsoft Office Word</Application>
  <DocSecurity>0</DocSecurity>
  <Lines>1215</Lines>
  <Paragraphs>394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2021-03-24T09:44:00Z</dcterms:created>
  <dcterms:modified xsi:type="dcterms:W3CDTF">2021-03-29T14:34:00Z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0x01010021C4B10288B48D46900FD1067A1F727D</vt:lpwstr>
  </property>
</Properties>
</file>